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BD755" w14:textId="1D231763" w:rsidR="002E3454" w:rsidRDefault="00320A20" w:rsidP="002E3454">
      <w:pPr>
        <w:spacing w:after="296" w:line="259" w:lineRule="auto"/>
        <w:ind w:left="7"/>
        <w:jc w:val="center"/>
      </w:pPr>
      <w:r w:rsidRPr="00320A20">
        <w:t>Appendix A</w:t>
      </w:r>
      <w:r>
        <w:t xml:space="preserve"> of</w:t>
      </w:r>
      <w:r w:rsidR="002E3454">
        <w:t xml:space="preserve"> the publication:</w:t>
      </w:r>
      <w:r w:rsidR="002E3454">
        <w:rPr>
          <w:rFonts w:ascii="Calibri" w:eastAsia="Calibri" w:hAnsi="Calibri" w:cs="Calibri"/>
        </w:rPr>
        <w:t xml:space="preserve"> </w:t>
      </w:r>
    </w:p>
    <w:p w14:paraId="49E0C114" w14:textId="77777777" w:rsidR="002E3454" w:rsidRDefault="002E3454" w:rsidP="002E3454">
      <w:pPr>
        <w:spacing w:after="21"/>
        <w:jc w:val="center"/>
      </w:pPr>
      <w:r>
        <w:rPr>
          <w:rFonts w:ascii="Calibri" w:eastAsia="Calibri" w:hAnsi="Calibri" w:cs="Calibri"/>
          <w:b/>
          <w:sz w:val="36"/>
        </w:rPr>
        <w:t xml:space="preserve">Sanyé-Mengual, E.; Specht, K.; Vávra, J.; Artmann, M.; </w:t>
      </w:r>
    </w:p>
    <w:p w14:paraId="4E5BF701" w14:textId="77777777" w:rsidR="002E3454" w:rsidRDefault="002E3454" w:rsidP="002E3454">
      <w:pPr>
        <w:spacing w:after="21"/>
        <w:ind w:right="1"/>
        <w:jc w:val="center"/>
      </w:pPr>
      <w:r>
        <w:rPr>
          <w:rFonts w:ascii="Calibri" w:eastAsia="Calibri" w:hAnsi="Calibri" w:cs="Calibri"/>
          <w:b/>
          <w:sz w:val="36"/>
        </w:rPr>
        <w:t xml:space="preserve">Orsini, F.; Gianquinto, G. Ecosystem Services of Urban </w:t>
      </w:r>
    </w:p>
    <w:p w14:paraId="391FB9EE" w14:textId="77777777" w:rsidR="002E3454" w:rsidRDefault="002E3454" w:rsidP="002E3454">
      <w:pPr>
        <w:spacing w:after="62"/>
        <w:ind w:right="7"/>
        <w:jc w:val="center"/>
      </w:pPr>
      <w:r>
        <w:rPr>
          <w:rFonts w:ascii="Calibri" w:eastAsia="Calibri" w:hAnsi="Calibri" w:cs="Calibri"/>
          <w:b/>
          <w:sz w:val="36"/>
        </w:rPr>
        <w:t xml:space="preserve">Agriculture: Perceptions of Project Leaders, Stakeholders and the General Public. </w:t>
      </w:r>
      <w:r>
        <w:rPr>
          <w:rFonts w:ascii="Calibri" w:eastAsia="Calibri" w:hAnsi="Calibri" w:cs="Calibri"/>
          <w:b/>
          <w:i/>
          <w:sz w:val="36"/>
        </w:rPr>
        <w:t>Sustainability</w:t>
      </w:r>
      <w:r>
        <w:rPr>
          <w:rFonts w:ascii="Calibri" w:eastAsia="Calibri" w:hAnsi="Calibri" w:cs="Calibri"/>
          <w:b/>
          <w:sz w:val="36"/>
        </w:rPr>
        <w:t xml:space="preserve"> 2020, </w:t>
      </w:r>
      <w:r>
        <w:rPr>
          <w:rFonts w:ascii="Calibri" w:eastAsia="Calibri" w:hAnsi="Calibri" w:cs="Calibri"/>
          <w:b/>
          <w:i/>
          <w:sz w:val="36"/>
        </w:rPr>
        <w:t>12</w:t>
      </w:r>
      <w:r>
        <w:rPr>
          <w:rFonts w:ascii="Calibri" w:eastAsia="Calibri" w:hAnsi="Calibri" w:cs="Calibri"/>
          <w:b/>
          <w:sz w:val="36"/>
        </w:rPr>
        <w:t xml:space="preserve">, 10446. </w:t>
      </w:r>
      <w:hyperlink r:id="rId4">
        <w:r>
          <w:rPr>
            <w:rFonts w:ascii="Calibri" w:eastAsia="Calibri" w:hAnsi="Calibri" w:cs="Calibri"/>
            <w:b/>
            <w:color w:val="467886"/>
            <w:sz w:val="36"/>
            <w:u w:val="single" w:color="467886"/>
          </w:rPr>
          <w:t>https://doi.org/10.3390/su122410446</w:t>
        </w:r>
      </w:hyperlink>
      <w:hyperlink r:id="rId5">
        <w:r>
          <w:rPr>
            <w:rFonts w:ascii="Calibri" w:eastAsia="Calibri" w:hAnsi="Calibri" w:cs="Calibri"/>
            <w:b/>
            <w:sz w:val="36"/>
          </w:rPr>
          <w:t xml:space="preserve"> </w:t>
        </w:r>
      </w:hyperlink>
      <w:r>
        <w:rPr>
          <w:rFonts w:ascii="Calibri" w:eastAsia="Calibri" w:hAnsi="Calibri" w:cs="Calibri"/>
          <w:b/>
          <w:sz w:val="36"/>
        </w:rPr>
        <w:t xml:space="preserve"> </w:t>
      </w:r>
    </w:p>
    <w:p w14:paraId="7A12E48F" w14:textId="77777777" w:rsidR="002E3454" w:rsidRDefault="002E3454" w:rsidP="006A7CFE">
      <w:pPr>
        <w:jc w:val="center"/>
        <w:rPr>
          <w:b/>
          <w:bCs/>
          <w:sz w:val="48"/>
          <w:szCs w:val="48"/>
          <w:lang w:val="en-US"/>
        </w:rPr>
      </w:pPr>
    </w:p>
    <w:p w14:paraId="261048B9" w14:textId="45262C77" w:rsidR="002E3454" w:rsidRPr="00800DD2" w:rsidRDefault="001D2E73" w:rsidP="002E3454">
      <w:pPr>
        <w:jc w:val="both"/>
        <w:rPr>
          <w:lang w:val="en-US"/>
        </w:rPr>
      </w:pPr>
      <w:r w:rsidRPr="002E3454">
        <w:rPr>
          <w:b/>
          <w:bCs/>
          <w:lang w:val="en-US"/>
        </w:rPr>
        <w:t>Data on Ecosystem Services of Urban Agriculture</w:t>
      </w:r>
      <w:r w:rsidR="002E3454" w:rsidRPr="002E3454">
        <w:rPr>
          <w:lang w:val="en-US"/>
        </w:rPr>
        <w:t>: t</w:t>
      </w:r>
      <w:r w:rsidR="00EB17E4" w:rsidRPr="002E3454">
        <w:rPr>
          <w:lang w:val="en-US"/>
        </w:rPr>
        <w:t>his</w:t>
      </w:r>
      <w:r w:rsidR="00EB17E4">
        <w:rPr>
          <w:lang w:val="en-US"/>
        </w:rPr>
        <w:t xml:space="preserve"> </w:t>
      </w:r>
      <w:r w:rsidR="00724950">
        <w:rPr>
          <w:lang w:val="en-US"/>
        </w:rPr>
        <w:t>document</w:t>
      </w:r>
      <w:r w:rsidR="00EB17E4">
        <w:rPr>
          <w:lang w:val="en-US"/>
        </w:rPr>
        <w:t xml:space="preserve"> contains the d</w:t>
      </w:r>
      <w:r w:rsidR="005D4428">
        <w:rPr>
          <w:lang w:val="en-US"/>
        </w:rPr>
        <w:t xml:space="preserve">atabases of perceived ecosystem services at either project leader, stakeholders and </w:t>
      </w:r>
      <w:proofErr w:type="gramStart"/>
      <w:r w:rsidR="005D4428">
        <w:rPr>
          <w:lang w:val="en-US"/>
        </w:rPr>
        <w:t>general public</w:t>
      </w:r>
      <w:proofErr w:type="gramEnd"/>
      <w:r w:rsidR="005D4428">
        <w:rPr>
          <w:lang w:val="en-US"/>
        </w:rPr>
        <w:t xml:space="preserve"> levels as compared with results retrieved from previous literature and </w:t>
      </w:r>
      <w:r w:rsidR="00EB17E4">
        <w:rPr>
          <w:lang w:val="en-US"/>
        </w:rPr>
        <w:t>with regard to Ecosystem Service typology, as discussed and elaborated in the publication</w:t>
      </w:r>
      <w:r w:rsidR="002E3454">
        <w:rPr>
          <w:lang w:val="en-US"/>
        </w:rPr>
        <w:t>.</w:t>
      </w:r>
      <w:r w:rsidR="00EB17E4">
        <w:rPr>
          <w:lang w:val="en-US"/>
        </w:rPr>
        <w:t xml:space="preserve"> </w:t>
      </w:r>
    </w:p>
    <w:p w14:paraId="5502B2A6" w14:textId="2FC6E29C" w:rsidR="00800DD2" w:rsidRPr="00800DD2" w:rsidRDefault="00800DD2" w:rsidP="00800DD2">
      <w:pPr>
        <w:rPr>
          <w:lang w:val="en-US"/>
        </w:rPr>
      </w:pPr>
    </w:p>
    <w:p w14:paraId="69748228" w14:textId="77777777" w:rsidR="00800DD2" w:rsidRPr="006C203D" w:rsidRDefault="00800DD2" w:rsidP="006C203D">
      <w:pPr>
        <w:rPr>
          <w:lang w:val="en-US"/>
        </w:rPr>
      </w:pPr>
    </w:p>
    <w:p w14:paraId="1A3BAF06" w14:textId="77777777" w:rsidR="00C00E46" w:rsidRDefault="00C00E46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42909BA3" w14:textId="65DE3F9F" w:rsidR="002859C3" w:rsidRPr="002859C3" w:rsidRDefault="002859C3" w:rsidP="002859C3">
      <w:r w:rsidRPr="002859C3">
        <w:rPr>
          <w:b/>
          <w:bCs/>
          <w:lang w:val="en-US"/>
        </w:rPr>
        <w:lastRenderedPageBreak/>
        <w:t>Table A1.</w:t>
      </w:r>
      <w:r w:rsidRPr="002859C3">
        <w:rPr>
          <w:lang w:val="en-US"/>
        </w:rPr>
        <w:t xml:space="preserve"> Perceived ecosystem services at the project leader, stakeholders and general public levels, including a comparison with the results from Camps-Calvet et al. [</w:t>
      </w:r>
      <w:hyperlink r:id="rId6" w:anchor="B28-sustainability-12-10446" w:history="1">
        <w:r w:rsidRPr="002859C3">
          <w:rPr>
            <w:rStyle w:val="Collegamentoipertestuale"/>
            <w:lang w:val="en-US"/>
          </w:rPr>
          <w:t>28</w:t>
        </w:r>
      </w:hyperlink>
      <w:r w:rsidRPr="002859C3">
        <w:rPr>
          <w:lang w:val="en-US"/>
        </w:rPr>
        <w:t xml:space="preserve">] by ES type. Values display the averages of the Likert-scale evaluation from 0 (lowest) to 5 (highest) ES perceived, numbers in parentheses are standard errors. Difference between Stakeholders and General public was tested by independent sample t-test, * p &lt; 0.05; ** p &lt; 0.01; *** p &lt; 0.001. </w:t>
      </w:r>
      <w:r w:rsidRPr="002859C3">
        <w:t>For Project leaders n = 6; Stakeholders n = 19–20; general public n = 252–379.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2728"/>
        <w:gridCol w:w="858"/>
        <w:gridCol w:w="906"/>
        <w:gridCol w:w="965"/>
        <w:gridCol w:w="1063"/>
        <w:gridCol w:w="2243"/>
      </w:tblGrid>
      <w:tr w:rsidR="00C00E46" w:rsidRPr="00C00E46" w14:paraId="5CDDD2DB" w14:textId="77777777" w:rsidTr="00C00E46">
        <w:trPr>
          <w:trHeight w:val="113"/>
          <w:tblHeader/>
          <w:tblCellSpacing w:w="15" w:type="dxa"/>
        </w:trPr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40AF97A1" w14:textId="77777777" w:rsidR="002859C3" w:rsidRPr="002859C3" w:rsidRDefault="002859C3" w:rsidP="00C00E46">
            <w:pPr>
              <w:spacing w:after="0"/>
              <w:rPr>
                <w:b/>
                <w:bCs/>
                <w:sz w:val="14"/>
                <w:szCs w:val="14"/>
              </w:rPr>
            </w:pPr>
            <w:r w:rsidRPr="002859C3">
              <w:rPr>
                <w:b/>
                <w:bCs/>
                <w:sz w:val="14"/>
                <w:szCs w:val="14"/>
              </w:rPr>
              <w:t>Ecosystem Services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2B58C60B" w14:textId="77777777" w:rsidR="002859C3" w:rsidRPr="002859C3" w:rsidRDefault="002859C3" w:rsidP="00C00E46">
            <w:pPr>
              <w:spacing w:after="0"/>
              <w:rPr>
                <w:b/>
                <w:bCs/>
                <w:sz w:val="14"/>
                <w:szCs w:val="14"/>
              </w:rPr>
            </w:pPr>
            <w:r w:rsidRPr="002859C3">
              <w:rPr>
                <w:b/>
                <w:bCs/>
                <w:sz w:val="14"/>
                <w:szCs w:val="14"/>
              </w:rPr>
              <w:t>Project Leader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07B26393" w14:textId="77777777" w:rsidR="002859C3" w:rsidRPr="002859C3" w:rsidRDefault="002859C3" w:rsidP="00C00E46">
            <w:pPr>
              <w:spacing w:after="0"/>
              <w:rPr>
                <w:b/>
                <w:bCs/>
                <w:sz w:val="14"/>
                <w:szCs w:val="14"/>
              </w:rPr>
            </w:pPr>
            <w:r w:rsidRPr="002859C3">
              <w:rPr>
                <w:b/>
                <w:bCs/>
                <w:sz w:val="14"/>
                <w:szCs w:val="14"/>
              </w:rPr>
              <w:t>Stakeholders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61A2AE21" w14:textId="77777777" w:rsidR="002859C3" w:rsidRPr="002859C3" w:rsidRDefault="002859C3" w:rsidP="00C00E46">
            <w:pPr>
              <w:spacing w:after="0"/>
              <w:rPr>
                <w:b/>
                <w:bCs/>
                <w:sz w:val="14"/>
                <w:szCs w:val="14"/>
              </w:rPr>
            </w:pPr>
            <w:r w:rsidRPr="002859C3">
              <w:rPr>
                <w:b/>
                <w:bCs/>
                <w:sz w:val="14"/>
                <w:szCs w:val="14"/>
              </w:rPr>
              <w:t>GeneralPublic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38FF1CE1" w14:textId="77777777" w:rsidR="002859C3" w:rsidRPr="002859C3" w:rsidRDefault="002859C3" w:rsidP="00C00E46">
            <w:pPr>
              <w:spacing w:after="0"/>
              <w:rPr>
                <w:b/>
                <w:bCs/>
                <w:sz w:val="14"/>
                <w:szCs w:val="14"/>
              </w:rPr>
            </w:pPr>
            <w:r w:rsidRPr="002859C3">
              <w:rPr>
                <w:b/>
                <w:bCs/>
                <w:sz w:val="14"/>
                <w:szCs w:val="14"/>
              </w:rPr>
              <w:t>Camps-Calvet [</w:t>
            </w:r>
            <w:hyperlink r:id="rId7" w:anchor="B28-sustainability-12-10446" w:history="1">
              <w:r w:rsidRPr="002859C3">
                <w:rPr>
                  <w:rStyle w:val="Collegamentoipertestuale"/>
                  <w:b/>
                  <w:bCs/>
                  <w:sz w:val="14"/>
                  <w:szCs w:val="14"/>
                </w:rPr>
                <w:t>28</w:t>
              </w:r>
            </w:hyperlink>
            <w:r w:rsidRPr="002859C3">
              <w:rPr>
                <w:b/>
                <w:bCs/>
                <w:sz w:val="14"/>
                <w:szCs w:val="14"/>
              </w:rPr>
              <w:t>]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2E03A501" w14:textId="77777777" w:rsidR="002859C3" w:rsidRPr="002859C3" w:rsidRDefault="002859C3" w:rsidP="00C00E46">
            <w:pPr>
              <w:spacing w:after="0"/>
              <w:rPr>
                <w:b/>
                <w:bCs/>
                <w:sz w:val="14"/>
                <w:szCs w:val="14"/>
              </w:rPr>
            </w:pPr>
            <w:r w:rsidRPr="002859C3">
              <w:rPr>
                <w:b/>
                <w:bCs/>
                <w:sz w:val="14"/>
                <w:szCs w:val="14"/>
              </w:rPr>
              <w:t>Stakeholders—General Public Difference</w:t>
            </w:r>
          </w:p>
        </w:tc>
      </w:tr>
      <w:tr w:rsidR="002859C3" w:rsidRPr="00C00E46" w14:paraId="353FCA02" w14:textId="77777777" w:rsidTr="00C00E46">
        <w:trPr>
          <w:trHeight w:val="113"/>
          <w:tblCellSpacing w:w="15" w:type="dxa"/>
        </w:trPr>
        <w:tc>
          <w:tcPr>
            <w:tcW w:w="0" w:type="auto"/>
            <w:vMerge w:val="restart"/>
            <w:tcBorders>
              <w:bottom w:val="single" w:sz="6" w:space="0" w:color="auto"/>
            </w:tcBorders>
            <w:vAlign w:val="center"/>
            <w:hideMark/>
          </w:tcPr>
          <w:p w14:paraId="44EEFDF1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Provision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F90CCFC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Food provision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114AF80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3.7 (0.67)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19D6DB5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4.1 (0.19)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F869909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4.5 (0.04)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9A9D7C5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3.8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3C770D1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**</w:t>
            </w:r>
          </w:p>
        </w:tc>
      </w:tr>
      <w:tr w:rsidR="002859C3" w:rsidRPr="00C00E46" w14:paraId="686573F9" w14:textId="77777777" w:rsidTr="00C00E46">
        <w:trPr>
          <w:trHeight w:val="113"/>
          <w:tblCellSpacing w:w="15" w:type="dxa"/>
        </w:trPr>
        <w:tc>
          <w:tcPr>
            <w:tcW w:w="0" w:type="auto"/>
            <w:vMerge/>
            <w:tcBorders>
              <w:bottom w:val="single" w:sz="6" w:space="0" w:color="auto"/>
            </w:tcBorders>
            <w:vAlign w:val="center"/>
            <w:hideMark/>
          </w:tcPr>
          <w:p w14:paraId="6B357E86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E43C5AC" w14:textId="77777777" w:rsidR="002859C3" w:rsidRPr="002859C3" w:rsidRDefault="002859C3" w:rsidP="00C00E46">
            <w:pPr>
              <w:spacing w:after="0"/>
              <w:rPr>
                <w:sz w:val="14"/>
                <w:szCs w:val="14"/>
                <w:lang w:val="en-US"/>
              </w:rPr>
            </w:pPr>
            <w:r w:rsidRPr="002859C3">
              <w:rPr>
                <w:sz w:val="14"/>
                <w:szCs w:val="14"/>
                <w:lang w:val="en-US"/>
              </w:rPr>
              <w:t>Provision of medicinal plants and herbs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9036660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2.0 (0.36)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27B3356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3.6 (0.26)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B6D4881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4.6 (0.04)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A8343AC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3.4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8C7E9E9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**</w:t>
            </w:r>
          </w:p>
        </w:tc>
      </w:tr>
      <w:tr w:rsidR="002859C3" w:rsidRPr="00C00E46" w14:paraId="29BC671B" w14:textId="77777777" w:rsidTr="00C00E46">
        <w:trPr>
          <w:trHeight w:val="113"/>
          <w:tblCellSpacing w:w="15" w:type="dxa"/>
        </w:trPr>
        <w:tc>
          <w:tcPr>
            <w:tcW w:w="0" w:type="auto"/>
            <w:vMerge/>
            <w:tcBorders>
              <w:bottom w:val="single" w:sz="6" w:space="0" w:color="auto"/>
            </w:tcBorders>
            <w:vAlign w:val="center"/>
            <w:hideMark/>
          </w:tcPr>
          <w:p w14:paraId="171EF99E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A5AD3EE" w14:textId="77777777" w:rsidR="002859C3" w:rsidRPr="002859C3" w:rsidRDefault="002859C3" w:rsidP="00C00E46">
            <w:pPr>
              <w:spacing w:after="0"/>
              <w:rPr>
                <w:sz w:val="14"/>
                <w:szCs w:val="14"/>
                <w:lang w:val="en-US"/>
              </w:rPr>
            </w:pPr>
            <w:r w:rsidRPr="002859C3">
              <w:rPr>
                <w:sz w:val="14"/>
                <w:szCs w:val="14"/>
                <w:lang w:val="en-US"/>
              </w:rPr>
              <w:t>Provision of other raw materials (e.g., wool)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9810769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2.0 (0.68)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6061897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2.4 (0.24)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2EA43B4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4.1 (0.06)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0342AFB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n.a.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C61A9D0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***</w:t>
            </w:r>
          </w:p>
        </w:tc>
      </w:tr>
      <w:tr w:rsidR="002859C3" w:rsidRPr="00C00E46" w14:paraId="6E281818" w14:textId="77777777" w:rsidTr="00C00E46">
        <w:trPr>
          <w:trHeight w:val="113"/>
          <w:tblCellSpacing w:w="15" w:type="dxa"/>
        </w:trPr>
        <w:tc>
          <w:tcPr>
            <w:tcW w:w="0" w:type="auto"/>
            <w:vMerge/>
            <w:tcBorders>
              <w:bottom w:val="single" w:sz="6" w:space="0" w:color="auto"/>
            </w:tcBorders>
            <w:vAlign w:val="center"/>
            <w:hideMark/>
          </w:tcPr>
          <w:p w14:paraId="3BCC48C8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710EF8F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Average provision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FC2FEB1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2.6 (0.38)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6B1998E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3.3 (0.20)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65C9A7A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4.4 (0.04)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99F1583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3.6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708F83D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***</w:t>
            </w:r>
          </w:p>
        </w:tc>
      </w:tr>
      <w:tr w:rsidR="002859C3" w:rsidRPr="00C00E46" w14:paraId="4E233D39" w14:textId="77777777" w:rsidTr="00C00E46">
        <w:trPr>
          <w:trHeight w:val="113"/>
          <w:tblCellSpacing w:w="15" w:type="dxa"/>
        </w:trPr>
        <w:tc>
          <w:tcPr>
            <w:tcW w:w="0" w:type="auto"/>
            <w:vMerge w:val="restart"/>
            <w:tcBorders>
              <w:bottom w:val="single" w:sz="6" w:space="0" w:color="auto"/>
            </w:tcBorders>
            <w:vAlign w:val="center"/>
            <w:hideMark/>
          </w:tcPr>
          <w:p w14:paraId="13314C0E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Regulating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53F67F6" w14:textId="77777777" w:rsidR="002859C3" w:rsidRPr="002859C3" w:rsidRDefault="002859C3" w:rsidP="00C00E46">
            <w:pPr>
              <w:spacing w:after="0"/>
              <w:rPr>
                <w:sz w:val="14"/>
                <w:szCs w:val="14"/>
                <w:lang w:val="en-US"/>
              </w:rPr>
            </w:pPr>
            <w:r w:rsidRPr="002859C3">
              <w:rPr>
                <w:sz w:val="14"/>
                <w:szCs w:val="14"/>
                <w:lang w:val="en-US"/>
              </w:rPr>
              <w:t>Improvement of local micro-climate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C842F05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3.0 (0.68)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60CA6D1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4.1 (0.18)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E6844CB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3.8 (0.07)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123E14E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8876B12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</w:p>
        </w:tc>
      </w:tr>
      <w:tr w:rsidR="002859C3" w:rsidRPr="00C00E46" w14:paraId="45A804E6" w14:textId="77777777" w:rsidTr="00C00E46">
        <w:trPr>
          <w:trHeight w:val="113"/>
          <w:tblCellSpacing w:w="15" w:type="dxa"/>
        </w:trPr>
        <w:tc>
          <w:tcPr>
            <w:tcW w:w="0" w:type="auto"/>
            <w:vMerge/>
            <w:tcBorders>
              <w:bottom w:val="single" w:sz="6" w:space="0" w:color="auto"/>
            </w:tcBorders>
            <w:vAlign w:val="center"/>
            <w:hideMark/>
          </w:tcPr>
          <w:p w14:paraId="38F08993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EDAAC62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Improvement of air quality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6141F98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3.2 (0.70)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D0CC496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3.9 (0.25)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DDE9B71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4.0 (0.07)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FFDF5B8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CC89279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</w:p>
        </w:tc>
      </w:tr>
      <w:tr w:rsidR="002859C3" w:rsidRPr="00C00E46" w14:paraId="152BC426" w14:textId="77777777" w:rsidTr="00C00E46">
        <w:trPr>
          <w:trHeight w:val="113"/>
          <w:tblCellSpacing w:w="15" w:type="dxa"/>
        </w:trPr>
        <w:tc>
          <w:tcPr>
            <w:tcW w:w="0" w:type="auto"/>
            <w:vMerge/>
            <w:tcBorders>
              <w:bottom w:val="single" w:sz="6" w:space="0" w:color="auto"/>
            </w:tcBorders>
            <w:vAlign w:val="center"/>
            <w:hideMark/>
          </w:tcPr>
          <w:p w14:paraId="59D0B655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6EFBF5C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Enhancement of carbon sequestration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68CF627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2.8 (0.48)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8CC05D2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3.4 (0.22)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607FFFD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3.7 (0.09)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BF45750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3.9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7C6800F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</w:p>
        </w:tc>
      </w:tr>
      <w:tr w:rsidR="002859C3" w:rsidRPr="00C00E46" w14:paraId="0327BD40" w14:textId="77777777" w:rsidTr="00C00E46">
        <w:trPr>
          <w:trHeight w:val="113"/>
          <w:tblCellSpacing w:w="15" w:type="dxa"/>
        </w:trPr>
        <w:tc>
          <w:tcPr>
            <w:tcW w:w="0" w:type="auto"/>
            <w:vMerge/>
            <w:tcBorders>
              <w:bottom w:val="single" w:sz="6" w:space="0" w:color="auto"/>
            </w:tcBorders>
            <w:vAlign w:val="center"/>
            <w:hideMark/>
          </w:tcPr>
          <w:p w14:paraId="4B10B3A8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AC9034E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Enhancement of pollination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C90A7EB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4.2 (0.65)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486C162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4.3 (0.16)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0B58C5E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4.3 (0.05)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FD6BBBB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BECB6A5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</w:p>
        </w:tc>
      </w:tr>
      <w:tr w:rsidR="002859C3" w:rsidRPr="00C00E46" w14:paraId="54245EEC" w14:textId="77777777" w:rsidTr="00C00E46">
        <w:trPr>
          <w:trHeight w:val="113"/>
          <w:tblCellSpacing w:w="15" w:type="dxa"/>
        </w:trPr>
        <w:tc>
          <w:tcPr>
            <w:tcW w:w="0" w:type="auto"/>
            <w:vMerge/>
            <w:tcBorders>
              <w:bottom w:val="single" w:sz="6" w:space="0" w:color="auto"/>
            </w:tcBorders>
            <w:vAlign w:val="center"/>
            <w:hideMark/>
          </w:tcPr>
          <w:p w14:paraId="2693E38B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28D142F" w14:textId="77777777" w:rsidR="002859C3" w:rsidRPr="002859C3" w:rsidRDefault="002859C3" w:rsidP="00C00E46">
            <w:pPr>
              <w:spacing w:after="0"/>
              <w:rPr>
                <w:sz w:val="14"/>
                <w:szCs w:val="14"/>
                <w:lang w:val="en-US"/>
              </w:rPr>
            </w:pPr>
            <w:r w:rsidRPr="002859C3">
              <w:rPr>
                <w:sz w:val="14"/>
                <w:szCs w:val="14"/>
                <w:lang w:val="en-US"/>
              </w:rPr>
              <w:t>Limitation of extreme weather events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94BFA88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2.0 (0.68)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2D71ABD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3.1 (0.25)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1296448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3.0 (1.0)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BF8EAA8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3.9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74F3156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</w:p>
        </w:tc>
      </w:tr>
      <w:tr w:rsidR="002859C3" w:rsidRPr="00C00E46" w14:paraId="68CF4814" w14:textId="77777777" w:rsidTr="00C00E46">
        <w:trPr>
          <w:trHeight w:val="113"/>
          <w:tblCellSpacing w:w="15" w:type="dxa"/>
        </w:trPr>
        <w:tc>
          <w:tcPr>
            <w:tcW w:w="0" w:type="auto"/>
            <w:vMerge/>
            <w:tcBorders>
              <w:bottom w:val="single" w:sz="6" w:space="0" w:color="auto"/>
            </w:tcBorders>
            <w:vAlign w:val="center"/>
            <w:hideMark/>
          </w:tcPr>
          <w:p w14:paraId="125A63CC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0B33757" w14:textId="77777777" w:rsidR="002859C3" w:rsidRPr="002859C3" w:rsidRDefault="002859C3" w:rsidP="00C00E46">
            <w:pPr>
              <w:spacing w:after="0"/>
              <w:rPr>
                <w:sz w:val="14"/>
                <w:szCs w:val="14"/>
                <w:lang w:val="en-US"/>
              </w:rPr>
            </w:pPr>
            <w:r w:rsidRPr="002859C3">
              <w:rPr>
                <w:sz w:val="14"/>
                <w:szCs w:val="14"/>
                <w:lang w:val="en-US"/>
              </w:rPr>
              <w:t>Soil erosion prevention and maintenance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65EE137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3.0 (0.68)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0F2E84D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4.2 (0.23)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1C6AC56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3.4 (0.09)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DCE3B55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BC6E86D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**</w:t>
            </w:r>
          </w:p>
        </w:tc>
      </w:tr>
      <w:tr w:rsidR="002859C3" w:rsidRPr="00C00E46" w14:paraId="0C90BE96" w14:textId="77777777" w:rsidTr="00C00E46">
        <w:trPr>
          <w:trHeight w:val="113"/>
          <w:tblCellSpacing w:w="15" w:type="dxa"/>
        </w:trPr>
        <w:tc>
          <w:tcPr>
            <w:tcW w:w="0" w:type="auto"/>
            <w:vMerge/>
            <w:tcBorders>
              <w:bottom w:val="single" w:sz="6" w:space="0" w:color="auto"/>
            </w:tcBorders>
            <w:vAlign w:val="center"/>
            <w:hideMark/>
          </w:tcPr>
          <w:p w14:paraId="730D2717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AA198E9" w14:textId="77777777" w:rsidR="002859C3" w:rsidRPr="002859C3" w:rsidRDefault="002859C3" w:rsidP="00C00E46">
            <w:pPr>
              <w:spacing w:after="0"/>
              <w:rPr>
                <w:sz w:val="14"/>
                <w:szCs w:val="14"/>
                <w:lang w:val="en-US"/>
              </w:rPr>
            </w:pPr>
            <w:r w:rsidRPr="002859C3">
              <w:rPr>
                <w:sz w:val="14"/>
                <w:szCs w:val="14"/>
                <w:lang w:val="en-US"/>
              </w:rPr>
              <w:t>Regulation of urban metabolism (e.g., organic waste)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47410B8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2.0 (0.52)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3B20FCC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4.2 (0.21)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11504B7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3.6 (0.09)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E62A0D7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n.a.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8C1596E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**</w:t>
            </w:r>
          </w:p>
        </w:tc>
      </w:tr>
      <w:tr w:rsidR="002859C3" w:rsidRPr="00C00E46" w14:paraId="393521FA" w14:textId="77777777" w:rsidTr="00C00E46">
        <w:trPr>
          <w:trHeight w:val="113"/>
          <w:tblCellSpacing w:w="15" w:type="dxa"/>
        </w:trPr>
        <w:tc>
          <w:tcPr>
            <w:tcW w:w="0" w:type="auto"/>
            <w:vMerge/>
            <w:tcBorders>
              <w:bottom w:val="single" w:sz="6" w:space="0" w:color="auto"/>
            </w:tcBorders>
            <w:vAlign w:val="center"/>
            <w:hideMark/>
          </w:tcPr>
          <w:p w14:paraId="27EC2A01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A1433F8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Average regulating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41A6F22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2.9 (0.45)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5265479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3.9 (0.16)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A83A018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3.7 (0.05)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6A16F0A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A2DC6EC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</w:p>
        </w:tc>
      </w:tr>
      <w:tr w:rsidR="002859C3" w:rsidRPr="00C00E46" w14:paraId="0BDB5795" w14:textId="77777777" w:rsidTr="00C00E46">
        <w:trPr>
          <w:trHeight w:val="113"/>
          <w:tblCellSpacing w:w="15" w:type="dxa"/>
        </w:trPr>
        <w:tc>
          <w:tcPr>
            <w:tcW w:w="0" w:type="auto"/>
            <w:vMerge w:val="restart"/>
            <w:tcBorders>
              <w:bottom w:val="single" w:sz="6" w:space="0" w:color="auto"/>
            </w:tcBorders>
            <w:vAlign w:val="center"/>
            <w:hideMark/>
          </w:tcPr>
          <w:p w14:paraId="46655048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Habitat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7C5B98A" w14:textId="77777777" w:rsidR="002859C3" w:rsidRPr="002859C3" w:rsidRDefault="002859C3" w:rsidP="00C00E46">
            <w:pPr>
              <w:spacing w:after="0"/>
              <w:rPr>
                <w:sz w:val="14"/>
                <w:szCs w:val="14"/>
                <w:lang w:val="en-US"/>
              </w:rPr>
            </w:pPr>
            <w:r w:rsidRPr="002859C3">
              <w:rPr>
                <w:sz w:val="14"/>
                <w:szCs w:val="14"/>
                <w:lang w:val="en-US"/>
              </w:rPr>
              <w:t>Provision of habitat for fauna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76BC5BD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3.0 (0.63)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C8DBF00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4.1 (0.17)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4E52696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4.0 (0.07)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6061C31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n.a.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3743328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</w:p>
        </w:tc>
      </w:tr>
      <w:tr w:rsidR="002859C3" w:rsidRPr="00C00E46" w14:paraId="0729CF1B" w14:textId="77777777" w:rsidTr="00C00E46">
        <w:trPr>
          <w:trHeight w:val="113"/>
          <w:tblCellSpacing w:w="15" w:type="dxa"/>
        </w:trPr>
        <w:tc>
          <w:tcPr>
            <w:tcW w:w="0" w:type="auto"/>
            <w:vMerge/>
            <w:tcBorders>
              <w:bottom w:val="single" w:sz="6" w:space="0" w:color="auto"/>
            </w:tcBorders>
            <w:vAlign w:val="center"/>
            <w:hideMark/>
          </w:tcPr>
          <w:p w14:paraId="78BB9EA1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0C18CD6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Conservation of genetic variability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C44BB72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3.5 (0.81)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3D7C5C0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3.9 (0.18)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7CA3F93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4.1 (0.06)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4F5C8A9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n.a.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41FE890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</w:p>
        </w:tc>
      </w:tr>
      <w:tr w:rsidR="002859C3" w:rsidRPr="00C00E46" w14:paraId="5E5D3CA1" w14:textId="77777777" w:rsidTr="00C00E46">
        <w:trPr>
          <w:trHeight w:val="113"/>
          <w:tblCellSpacing w:w="15" w:type="dxa"/>
        </w:trPr>
        <w:tc>
          <w:tcPr>
            <w:tcW w:w="0" w:type="auto"/>
            <w:vMerge/>
            <w:tcBorders>
              <w:bottom w:val="single" w:sz="6" w:space="0" w:color="auto"/>
            </w:tcBorders>
            <w:vAlign w:val="center"/>
            <w:hideMark/>
          </w:tcPr>
          <w:p w14:paraId="69FAFCC6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CC01A16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Increase in global biodiversity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0B595E2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3.5 (0.72)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143DB69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4.1 (0.17)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34542F5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4.0 (0.07)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326757E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5761700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</w:p>
        </w:tc>
      </w:tr>
      <w:tr w:rsidR="002859C3" w:rsidRPr="00C00E46" w14:paraId="3C0712D1" w14:textId="77777777" w:rsidTr="00C00E46">
        <w:trPr>
          <w:trHeight w:val="113"/>
          <w:tblCellSpacing w:w="15" w:type="dxa"/>
        </w:trPr>
        <w:tc>
          <w:tcPr>
            <w:tcW w:w="0" w:type="auto"/>
            <w:vMerge/>
            <w:tcBorders>
              <w:bottom w:val="single" w:sz="6" w:space="0" w:color="auto"/>
            </w:tcBorders>
            <w:vAlign w:val="center"/>
            <w:hideMark/>
          </w:tcPr>
          <w:p w14:paraId="39EBE054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909C950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Average habitat 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77CD0E2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3.3 (0.63)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A66719B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4.2 (0.13)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720F265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4.0 (0.06)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5FFD12D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20885F0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</w:p>
        </w:tc>
      </w:tr>
      <w:tr w:rsidR="002859C3" w:rsidRPr="00C00E46" w14:paraId="1FCE5FAF" w14:textId="77777777" w:rsidTr="00C00E46">
        <w:trPr>
          <w:trHeight w:val="113"/>
          <w:tblCellSpacing w:w="15" w:type="dxa"/>
        </w:trPr>
        <w:tc>
          <w:tcPr>
            <w:tcW w:w="0" w:type="auto"/>
            <w:vMerge w:val="restart"/>
            <w:tcBorders>
              <w:bottom w:val="single" w:sz="6" w:space="0" w:color="auto"/>
            </w:tcBorders>
            <w:vAlign w:val="center"/>
            <w:hideMark/>
          </w:tcPr>
          <w:p w14:paraId="7669B277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Socio-cultural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FF07791" w14:textId="77777777" w:rsidR="002859C3" w:rsidRPr="002859C3" w:rsidRDefault="002859C3" w:rsidP="00C00E46">
            <w:pPr>
              <w:spacing w:after="0"/>
              <w:rPr>
                <w:sz w:val="14"/>
                <w:szCs w:val="14"/>
                <w:lang w:val="en-US"/>
              </w:rPr>
            </w:pPr>
            <w:r w:rsidRPr="002859C3">
              <w:rPr>
                <w:sz w:val="14"/>
                <w:szCs w:val="14"/>
                <w:lang w:val="en-US"/>
              </w:rPr>
              <w:t>Contribution to training and education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727C4B9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4.0 (0.26)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BB2DF40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4.5 (0.14)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82B5F43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4.7 (0.03)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2F24BFC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459B055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</w:p>
        </w:tc>
      </w:tr>
      <w:tr w:rsidR="002859C3" w:rsidRPr="00C00E46" w14:paraId="63CDA81B" w14:textId="77777777" w:rsidTr="00C00E46">
        <w:trPr>
          <w:trHeight w:val="113"/>
          <w:tblCellSpacing w:w="15" w:type="dxa"/>
        </w:trPr>
        <w:tc>
          <w:tcPr>
            <w:tcW w:w="0" w:type="auto"/>
            <w:vMerge/>
            <w:tcBorders>
              <w:bottom w:val="single" w:sz="6" w:space="0" w:color="auto"/>
            </w:tcBorders>
            <w:vAlign w:val="center"/>
            <w:hideMark/>
          </w:tcPr>
          <w:p w14:paraId="4B398CE6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9DF229A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New forms of recreation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03F5FFE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3.3 (0.76)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A523212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4.5 (0.14)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E57A91E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4.8 (0.02)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3FFBE2B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52F549B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</w:p>
        </w:tc>
      </w:tr>
      <w:tr w:rsidR="002859C3" w:rsidRPr="00C00E46" w14:paraId="75D98EA0" w14:textId="77777777" w:rsidTr="00C00E46">
        <w:trPr>
          <w:trHeight w:val="113"/>
          <w:tblCellSpacing w:w="15" w:type="dxa"/>
        </w:trPr>
        <w:tc>
          <w:tcPr>
            <w:tcW w:w="0" w:type="auto"/>
            <w:vMerge/>
            <w:tcBorders>
              <w:bottom w:val="single" w:sz="6" w:space="0" w:color="auto"/>
            </w:tcBorders>
            <w:vAlign w:val="center"/>
            <w:hideMark/>
          </w:tcPr>
          <w:p w14:paraId="63B6FFEE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E852B6B" w14:textId="77777777" w:rsidR="002859C3" w:rsidRPr="002859C3" w:rsidRDefault="002859C3" w:rsidP="00C00E46">
            <w:pPr>
              <w:spacing w:after="0"/>
              <w:rPr>
                <w:sz w:val="14"/>
                <w:szCs w:val="14"/>
                <w:lang w:val="en-US"/>
              </w:rPr>
            </w:pPr>
            <w:r w:rsidRPr="002859C3">
              <w:rPr>
                <w:sz w:val="14"/>
                <w:szCs w:val="14"/>
                <w:lang w:val="en-US"/>
              </w:rPr>
              <w:t>Improvement of touristic attractions in the city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5DF9F88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2.7 (0.62)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EF80164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3.8 (0.19)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B5A4321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4.2 (0.06)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0CE0EC0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n.a.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C189359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</w:p>
        </w:tc>
      </w:tr>
      <w:tr w:rsidR="002859C3" w:rsidRPr="00C00E46" w14:paraId="2C608204" w14:textId="77777777" w:rsidTr="00C00E46">
        <w:trPr>
          <w:trHeight w:val="113"/>
          <w:tblCellSpacing w:w="15" w:type="dxa"/>
        </w:trPr>
        <w:tc>
          <w:tcPr>
            <w:tcW w:w="0" w:type="auto"/>
            <w:vMerge/>
            <w:tcBorders>
              <w:bottom w:val="single" w:sz="6" w:space="0" w:color="auto"/>
            </w:tcBorders>
            <w:vAlign w:val="center"/>
            <w:hideMark/>
          </w:tcPr>
          <w:p w14:paraId="36419366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CC092E3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Improvement of mental health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2CFD858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3.3 (0.76)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AAB858F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4.7 (0.11)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12F6D67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4.7 (0.03)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384F9EF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F7526DB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</w:p>
        </w:tc>
      </w:tr>
      <w:tr w:rsidR="002859C3" w:rsidRPr="00C00E46" w14:paraId="31DA9693" w14:textId="77777777" w:rsidTr="00C00E46">
        <w:trPr>
          <w:trHeight w:val="113"/>
          <w:tblCellSpacing w:w="15" w:type="dxa"/>
        </w:trPr>
        <w:tc>
          <w:tcPr>
            <w:tcW w:w="0" w:type="auto"/>
            <w:vMerge/>
            <w:tcBorders>
              <w:bottom w:val="single" w:sz="6" w:space="0" w:color="auto"/>
            </w:tcBorders>
            <w:vAlign w:val="center"/>
            <w:hideMark/>
          </w:tcPr>
          <w:p w14:paraId="0D68A0DC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1EFBD64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Improvement of physical health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54151E9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3.5 (0.67)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5F03469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4.5 (0.17)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B1765AE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4.6 (0.04)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BA48D45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2CC475D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</w:p>
        </w:tc>
      </w:tr>
      <w:tr w:rsidR="002859C3" w:rsidRPr="00C00E46" w14:paraId="3AF893CB" w14:textId="77777777" w:rsidTr="00C00E46">
        <w:trPr>
          <w:trHeight w:val="113"/>
          <w:tblCellSpacing w:w="15" w:type="dxa"/>
        </w:trPr>
        <w:tc>
          <w:tcPr>
            <w:tcW w:w="0" w:type="auto"/>
            <w:vMerge/>
            <w:tcBorders>
              <w:bottom w:val="single" w:sz="6" w:space="0" w:color="auto"/>
            </w:tcBorders>
            <w:vAlign w:val="center"/>
            <w:hideMark/>
          </w:tcPr>
          <w:p w14:paraId="29CF4C70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0B41FA9" w14:textId="77777777" w:rsidR="002859C3" w:rsidRPr="002859C3" w:rsidRDefault="002859C3" w:rsidP="00C00E46">
            <w:pPr>
              <w:spacing w:after="0"/>
              <w:rPr>
                <w:sz w:val="14"/>
                <w:szCs w:val="14"/>
                <w:lang w:val="en-US"/>
              </w:rPr>
            </w:pPr>
            <w:r w:rsidRPr="002859C3">
              <w:rPr>
                <w:sz w:val="14"/>
                <w:szCs w:val="14"/>
                <w:lang w:val="en-US"/>
              </w:rPr>
              <w:t>Enhancement of the contact with nature and spirituality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92F47FF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3.8 (0.60)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5E9E4EA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4.2 (0.20)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8FFD8B3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4.7 (0.03)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A290FE3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4534E87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*</w:t>
            </w:r>
          </w:p>
        </w:tc>
      </w:tr>
      <w:tr w:rsidR="002859C3" w:rsidRPr="00C00E46" w14:paraId="66387718" w14:textId="77777777" w:rsidTr="00C00E46">
        <w:trPr>
          <w:trHeight w:val="113"/>
          <w:tblCellSpacing w:w="15" w:type="dxa"/>
        </w:trPr>
        <w:tc>
          <w:tcPr>
            <w:tcW w:w="0" w:type="auto"/>
            <w:vMerge/>
            <w:tcBorders>
              <w:bottom w:val="single" w:sz="6" w:space="0" w:color="auto"/>
            </w:tcBorders>
            <w:vAlign w:val="center"/>
            <w:hideMark/>
          </w:tcPr>
          <w:p w14:paraId="6D4AAB3C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4980A7D" w14:textId="77777777" w:rsidR="002859C3" w:rsidRPr="002859C3" w:rsidRDefault="002859C3" w:rsidP="00C00E46">
            <w:pPr>
              <w:spacing w:after="0"/>
              <w:rPr>
                <w:sz w:val="14"/>
                <w:szCs w:val="14"/>
                <w:lang w:val="en-US"/>
              </w:rPr>
            </w:pPr>
            <w:r w:rsidRPr="002859C3">
              <w:rPr>
                <w:sz w:val="14"/>
                <w:szCs w:val="14"/>
                <w:lang w:val="en-US"/>
              </w:rPr>
              <w:t>Improvement of urban aesthetics and art inspiration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7D75A9E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3.3 (0.76)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BBC26E1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4.5 (0.14)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C2C6A84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4.6 (0.04)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EFF2F8F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ED0401E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</w:p>
        </w:tc>
      </w:tr>
      <w:tr w:rsidR="002859C3" w:rsidRPr="00C00E46" w14:paraId="3A484010" w14:textId="77777777" w:rsidTr="00C00E46">
        <w:trPr>
          <w:trHeight w:val="113"/>
          <w:tblCellSpacing w:w="15" w:type="dxa"/>
        </w:trPr>
        <w:tc>
          <w:tcPr>
            <w:tcW w:w="0" w:type="auto"/>
            <w:vMerge/>
            <w:tcBorders>
              <w:bottom w:val="single" w:sz="6" w:space="0" w:color="auto"/>
            </w:tcBorders>
            <w:vAlign w:val="center"/>
            <w:hideMark/>
          </w:tcPr>
          <w:p w14:paraId="1F3DB667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D8B495D" w14:textId="77777777" w:rsidR="002859C3" w:rsidRPr="002859C3" w:rsidRDefault="002859C3" w:rsidP="00C00E46">
            <w:pPr>
              <w:spacing w:after="0"/>
              <w:rPr>
                <w:sz w:val="14"/>
                <w:szCs w:val="14"/>
                <w:lang w:val="en-US"/>
              </w:rPr>
            </w:pPr>
            <w:r w:rsidRPr="002859C3">
              <w:rPr>
                <w:sz w:val="14"/>
                <w:szCs w:val="14"/>
                <w:lang w:val="en-US"/>
              </w:rPr>
              <w:t>Preservation of cultural knowledge and heritage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38A3441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3.3 (0.67)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8034F51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4.1 (0.25)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206CEFC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4.2 (0.05)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A3F7D5A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0B8BD70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</w:p>
        </w:tc>
      </w:tr>
      <w:tr w:rsidR="002859C3" w:rsidRPr="00C00E46" w14:paraId="1A15889E" w14:textId="77777777" w:rsidTr="00C00E46">
        <w:trPr>
          <w:trHeight w:val="113"/>
          <w:tblCellSpacing w:w="15" w:type="dxa"/>
        </w:trPr>
        <w:tc>
          <w:tcPr>
            <w:tcW w:w="0" w:type="auto"/>
            <w:vMerge/>
            <w:tcBorders>
              <w:bottom w:val="single" w:sz="6" w:space="0" w:color="auto"/>
            </w:tcBorders>
            <w:vAlign w:val="center"/>
            <w:hideMark/>
          </w:tcPr>
          <w:p w14:paraId="00CE7F81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CFE3B9A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Improvement of community building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0413E38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2.8 (0.70)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1FC9CF6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4.2 (0.21)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31E4473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4.4 (0.05)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B34BF03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190C655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</w:p>
        </w:tc>
      </w:tr>
      <w:tr w:rsidR="002859C3" w:rsidRPr="00C00E46" w14:paraId="5C680980" w14:textId="77777777" w:rsidTr="00C00E46">
        <w:trPr>
          <w:trHeight w:val="113"/>
          <w:tblCellSpacing w:w="15" w:type="dxa"/>
        </w:trPr>
        <w:tc>
          <w:tcPr>
            <w:tcW w:w="0" w:type="auto"/>
            <w:vMerge/>
            <w:tcBorders>
              <w:bottom w:val="single" w:sz="6" w:space="0" w:color="auto"/>
            </w:tcBorders>
            <w:vAlign w:val="center"/>
            <w:hideMark/>
          </w:tcPr>
          <w:p w14:paraId="4726D1CA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74B1BA8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Improvement of social cohesion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770DDBD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2.8 (0.70)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FF7701B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4.3 (0.19)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2948A7B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4.4 (0.05)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791863F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4D7F894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</w:p>
        </w:tc>
      </w:tr>
      <w:tr w:rsidR="002859C3" w:rsidRPr="00C00E46" w14:paraId="343EACD4" w14:textId="77777777" w:rsidTr="00C00E46">
        <w:trPr>
          <w:trHeight w:val="113"/>
          <w:tblCellSpacing w:w="15" w:type="dxa"/>
        </w:trPr>
        <w:tc>
          <w:tcPr>
            <w:tcW w:w="0" w:type="auto"/>
            <w:vMerge/>
            <w:tcBorders>
              <w:bottom w:val="single" w:sz="6" w:space="0" w:color="auto"/>
            </w:tcBorders>
            <w:vAlign w:val="center"/>
            <w:hideMark/>
          </w:tcPr>
          <w:p w14:paraId="1E415522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B6BC6D4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Improvement of place attachment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0B785D1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3.0 (0.78)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B954B64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4.1 (0.19)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979F21A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4.3 (0.05)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649AC51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36491EB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</w:p>
        </w:tc>
      </w:tr>
      <w:tr w:rsidR="002859C3" w:rsidRPr="00C00E46" w14:paraId="2D208712" w14:textId="77777777" w:rsidTr="00C00E46">
        <w:trPr>
          <w:trHeight w:val="113"/>
          <w:tblCellSpacing w:w="15" w:type="dxa"/>
        </w:trPr>
        <w:tc>
          <w:tcPr>
            <w:tcW w:w="0" w:type="auto"/>
            <w:vMerge/>
            <w:tcBorders>
              <w:bottom w:val="single" w:sz="6" w:space="0" w:color="auto"/>
            </w:tcBorders>
            <w:vAlign w:val="center"/>
            <w:hideMark/>
          </w:tcPr>
          <w:p w14:paraId="63790D4A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5FFCCA4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Contribution to political realization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15A739D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2.5 (0.62)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612252C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3.3 (0.27)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12912B4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3.4 (0.09)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FBF57D7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A997B6B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</w:p>
        </w:tc>
      </w:tr>
      <w:tr w:rsidR="002859C3" w:rsidRPr="00C00E46" w14:paraId="7C82D0CB" w14:textId="77777777" w:rsidTr="00C00E46">
        <w:trPr>
          <w:trHeight w:val="113"/>
          <w:tblCellSpacing w:w="15" w:type="dxa"/>
        </w:trPr>
        <w:tc>
          <w:tcPr>
            <w:tcW w:w="0" w:type="auto"/>
            <w:vMerge/>
            <w:tcBorders>
              <w:bottom w:val="single" w:sz="6" w:space="0" w:color="auto"/>
            </w:tcBorders>
            <w:vAlign w:val="center"/>
            <w:hideMark/>
          </w:tcPr>
          <w:p w14:paraId="53EA9727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9B5964C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Average socio-cultural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653C75C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3.2 (0.56)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71407E4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4.2 (0.12)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67F65DC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4.4 (0.03)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0736CF6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727CA25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*</w:t>
            </w:r>
          </w:p>
        </w:tc>
      </w:tr>
      <w:tr w:rsidR="002859C3" w:rsidRPr="00C00E46" w14:paraId="7BBC8565" w14:textId="77777777" w:rsidTr="00C00E46">
        <w:trPr>
          <w:trHeight w:val="113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auto"/>
            </w:tcBorders>
            <w:vAlign w:val="center"/>
            <w:hideMark/>
          </w:tcPr>
          <w:p w14:paraId="419101DE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TOTAL AVERAGE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30180E1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3.1 (0.48)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BBA32C6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4.0 (0.11)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13A934C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4.2 (0.03)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F319B62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  <w:r w:rsidRPr="002859C3">
              <w:rPr>
                <w:sz w:val="14"/>
                <w:szCs w:val="14"/>
              </w:rPr>
              <w:t>4.0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3D22D119" w14:textId="77777777" w:rsidR="002859C3" w:rsidRPr="002859C3" w:rsidRDefault="002859C3" w:rsidP="00C00E46">
            <w:pPr>
              <w:spacing w:after="0"/>
              <w:rPr>
                <w:sz w:val="14"/>
                <w:szCs w:val="14"/>
              </w:rPr>
            </w:pPr>
          </w:p>
        </w:tc>
      </w:tr>
    </w:tbl>
    <w:p w14:paraId="7E23FD9E" w14:textId="77777777" w:rsidR="002859C3" w:rsidRDefault="002859C3"/>
    <w:p w14:paraId="4A2C2CBA" w14:textId="11485D29" w:rsidR="00C00E46" w:rsidRDefault="00C00E46">
      <w:r>
        <w:br w:type="page"/>
      </w:r>
    </w:p>
    <w:p w14:paraId="6B0BF80C" w14:textId="77777777" w:rsidR="00A21FB8" w:rsidRPr="00A21FB8" w:rsidRDefault="00A21FB8" w:rsidP="00A21FB8">
      <w:r w:rsidRPr="00A21FB8">
        <w:rPr>
          <w:b/>
          <w:bCs/>
          <w:lang w:val="en-US"/>
        </w:rPr>
        <w:lastRenderedPageBreak/>
        <w:t>Table A2.</w:t>
      </w:r>
      <w:r w:rsidRPr="00A21FB8">
        <w:rPr>
          <w:lang w:val="en-US"/>
        </w:rPr>
        <w:t xml:space="preserve"> Perceived ecosystem services at the project leader level: Total average, average for socially oriented cases, average for technologically oriented cases and ratio social/technological, by ecosystem service type (provision, regulating, habitat, socio-cultural). Values display the averages of the Likert-scale evaluation from 0 (lowest) to 5 (highest) ES perceived. </w:t>
      </w:r>
      <w:r w:rsidRPr="00A21FB8">
        <w:t xml:space="preserve">N = 6; for standard errors of total see </w:t>
      </w:r>
      <w:hyperlink r:id="rId8" w:anchor="table_body_display_sustainability-12-10446-t0A1" w:history="1">
        <w:r w:rsidRPr="00A21FB8">
          <w:rPr>
            <w:rStyle w:val="Collegamentoipertestuale"/>
          </w:rPr>
          <w:t>Table A1</w:t>
        </w:r>
      </w:hyperlink>
      <w:r w:rsidRPr="00A21FB8"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"/>
        <w:gridCol w:w="3879"/>
        <w:gridCol w:w="413"/>
        <w:gridCol w:w="515"/>
        <w:gridCol w:w="1068"/>
        <w:gridCol w:w="1042"/>
      </w:tblGrid>
      <w:tr w:rsidR="00A21FB8" w:rsidRPr="00A21FB8" w14:paraId="55484102" w14:textId="77777777" w:rsidTr="00A21FB8">
        <w:trPr>
          <w:tblHeader/>
          <w:tblCellSpacing w:w="15" w:type="dxa"/>
        </w:trPr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4537C192" w14:textId="77777777" w:rsidR="00A21FB8" w:rsidRPr="00A21FB8" w:rsidRDefault="00A21FB8" w:rsidP="00A21FB8">
            <w:pPr>
              <w:spacing w:after="0"/>
              <w:rPr>
                <w:b/>
                <w:bCs/>
                <w:sz w:val="16"/>
                <w:szCs w:val="16"/>
              </w:rPr>
            </w:pPr>
            <w:r w:rsidRPr="00A21FB8">
              <w:rPr>
                <w:b/>
                <w:bCs/>
                <w:sz w:val="16"/>
                <w:szCs w:val="16"/>
              </w:rPr>
              <w:t>Ecosystem Services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0709D662" w14:textId="77777777" w:rsidR="00A21FB8" w:rsidRPr="00A21FB8" w:rsidRDefault="00A21FB8" w:rsidP="00A21FB8">
            <w:pPr>
              <w:spacing w:after="0"/>
              <w:rPr>
                <w:b/>
                <w:bCs/>
                <w:sz w:val="16"/>
                <w:szCs w:val="16"/>
              </w:rPr>
            </w:pPr>
            <w:r w:rsidRPr="00A21FB8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1F722700" w14:textId="77777777" w:rsidR="00A21FB8" w:rsidRPr="00A21FB8" w:rsidRDefault="00A21FB8" w:rsidP="00A21FB8">
            <w:pPr>
              <w:spacing w:after="0"/>
              <w:rPr>
                <w:b/>
                <w:bCs/>
                <w:sz w:val="16"/>
                <w:szCs w:val="16"/>
              </w:rPr>
            </w:pPr>
            <w:r w:rsidRPr="00A21FB8">
              <w:rPr>
                <w:b/>
                <w:bCs/>
                <w:sz w:val="16"/>
                <w:szCs w:val="16"/>
              </w:rPr>
              <w:t>Social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794EE3B8" w14:textId="77777777" w:rsidR="00A21FB8" w:rsidRPr="00A21FB8" w:rsidRDefault="00A21FB8" w:rsidP="00A21FB8">
            <w:pPr>
              <w:spacing w:after="0"/>
              <w:rPr>
                <w:b/>
                <w:bCs/>
                <w:sz w:val="16"/>
                <w:szCs w:val="16"/>
              </w:rPr>
            </w:pPr>
            <w:r w:rsidRPr="00A21FB8">
              <w:rPr>
                <w:b/>
                <w:bCs/>
                <w:sz w:val="16"/>
                <w:szCs w:val="16"/>
              </w:rPr>
              <w:t>Technological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6282F6F0" w14:textId="77777777" w:rsidR="00A21FB8" w:rsidRPr="00A21FB8" w:rsidRDefault="00A21FB8" w:rsidP="00A21FB8">
            <w:pPr>
              <w:spacing w:after="0"/>
              <w:rPr>
                <w:b/>
                <w:bCs/>
                <w:sz w:val="16"/>
                <w:szCs w:val="16"/>
              </w:rPr>
            </w:pPr>
            <w:r w:rsidRPr="00A21FB8">
              <w:rPr>
                <w:b/>
                <w:bCs/>
                <w:sz w:val="16"/>
                <w:szCs w:val="16"/>
              </w:rPr>
              <w:t>RatioSoc/Tec</w:t>
            </w:r>
          </w:p>
        </w:tc>
      </w:tr>
      <w:tr w:rsidR="00A21FB8" w:rsidRPr="00A21FB8" w14:paraId="20914F9A" w14:textId="77777777" w:rsidTr="00A21FB8">
        <w:trPr>
          <w:tblCellSpacing w:w="15" w:type="dxa"/>
        </w:trPr>
        <w:tc>
          <w:tcPr>
            <w:tcW w:w="0" w:type="auto"/>
            <w:vMerge w:val="restart"/>
            <w:tcBorders>
              <w:bottom w:val="single" w:sz="6" w:space="0" w:color="auto"/>
            </w:tcBorders>
            <w:vAlign w:val="center"/>
            <w:hideMark/>
          </w:tcPr>
          <w:p w14:paraId="4FF2D22D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Provision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175EA21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Food provision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3A3CF67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3.7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E586CFA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4.0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1595C07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3.0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C2C7501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1.3</w:t>
            </w:r>
          </w:p>
        </w:tc>
      </w:tr>
      <w:tr w:rsidR="00A21FB8" w:rsidRPr="00A21FB8" w14:paraId="7A764EC3" w14:textId="77777777" w:rsidTr="00A21FB8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auto"/>
            </w:tcBorders>
            <w:vAlign w:val="center"/>
            <w:hideMark/>
          </w:tcPr>
          <w:p w14:paraId="01A78F2E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42C8F16" w14:textId="77777777" w:rsidR="00A21FB8" w:rsidRPr="00A21FB8" w:rsidRDefault="00A21FB8" w:rsidP="00A21FB8">
            <w:pPr>
              <w:spacing w:after="0"/>
              <w:rPr>
                <w:sz w:val="16"/>
                <w:szCs w:val="16"/>
                <w:lang w:val="en-US"/>
              </w:rPr>
            </w:pPr>
            <w:r w:rsidRPr="00A21FB8">
              <w:rPr>
                <w:sz w:val="16"/>
                <w:szCs w:val="16"/>
                <w:lang w:val="en-US"/>
              </w:rPr>
              <w:t>Provision of medicinal plants and herbs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C79FB64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2.0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EADD361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2.3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D92FA3B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1.5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A967E40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1.5</w:t>
            </w:r>
          </w:p>
        </w:tc>
      </w:tr>
      <w:tr w:rsidR="00A21FB8" w:rsidRPr="00A21FB8" w14:paraId="0C8FE277" w14:textId="77777777" w:rsidTr="00A21FB8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auto"/>
            </w:tcBorders>
            <w:vAlign w:val="center"/>
            <w:hideMark/>
          </w:tcPr>
          <w:p w14:paraId="27B8963D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F685E53" w14:textId="77777777" w:rsidR="00A21FB8" w:rsidRPr="00A21FB8" w:rsidRDefault="00A21FB8" w:rsidP="00A21FB8">
            <w:pPr>
              <w:spacing w:after="0"/>
              <w:rPr>
                <w:sz w:val="16"/>
                <w:szCs w:val="16"/>
                <w:lang w:val="en-US"/>
              </w:rPr>
            </w:pPr>
            <w:r w:rsidRPr="00A21FB8">
              <w:rPr>
                <w:sz w:val="16"/>
                <w:szCs w:val="16"/>
                <w:lang w:val="en-US"/>
              </w:rPr>
              <w:t>Provision of other raw materials (e.g., wool)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1F790E3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2.0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17E1C52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E11570C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1.0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A45385C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2.5</w:t>
            </w:r>
          </w:p>
        </w:tc>
      </w:tr>
      <w:tr w:rsidR="00A21FB8" w:rsidRPr="00A21FB8" w14:paraId="1F84E15B" w14:textId="77777777" w:rsidTr="00A21FB8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auto"/>
            </w:tcBorders>
            <w:vAlign w:val="center"/>
            <w:hideMark/>
          </w:tcPr>
          <w:p w14:paraId="06EF95D3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05361AC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Average provision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9D6C8CC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2.6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FE1EE43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2.9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97E43FF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1.8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C038EAA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1.8</w:t>
            </w:r>
          </w:p>
        </w:tc>
      </w:tr>
      <w:tr w:rsidR="00A21FB8" w:rsidRPr="00A21FB8" w14:paraId="00B1406B" w14:textId="77777777" w:rsidTr="00A21FB8">
        <w:trPr>
          <w:tblCellSpacing w:w="15" w:type="dxa"/>
        </w:trPr>
        <w:tc>
          <w:tcPr>
            <w:tcW w:w="0" w:type="auto"/>
            <w:vMerge w:val="restart"/>
            <w:tcBorders>
              <w:bottom w:val="single" w:sz="6" w:space="0" w:color="auto"/>
            </w:tcBorders>
            <w:vAlign w:val="center"/>
            <w:hideMark/>
          </w:tcPr>
          <w:p w14:paraId="47C6327B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Regulating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98B6B08" w14:textId="77777777" w:rsidR="00A21FB8" w:rsidRPr="00A21FB8" w:rsidRDefault="00A21FB8" w:rsidP="00A21FB8">
            <w:pPr>
              <w:spacing w:after="0"/>
              <w:rPr>
                <w:sz w:val="16"/>
                <w:szCs w:val="16"/>
                <w:lang w:val="en-US"/>
              </w:rPr>
            </w:pPr>
            <w:r w:rsidRPr="00A21FB8">
              <w:rPr>
                <w:sz w:val="16"/>
                <w:szCs w:val="16"/>
                <w:lang w:val="en-US"/>
              </w:rPr>
              <w:t>Improvement of local micro-climate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495DD49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3.0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4570904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4.0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A01D3F1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1.0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32C9733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4.0</w:t>
            </w:r>
          </w:p>
        </w:tc>
      </w:tr>
      <w:tr w:rsidR="00A21FB8" w:rsidRPr="00A21FB8" w14:paraId="77C3DFF6" w14:textId="77777777" w:rsidTr="00A21FB8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auto"/>
            </w:tcBorders>
            <w:vAlign w:val="center"/>
            <w:hideMark/>
          </w:tcPr>
          <w:p w14:paraId="2B0107E3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1986016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Improvement of air quality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DAB226B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9542CC1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4.3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D459F56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1.0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2FE7B11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4.3</w:t>
            </w:r>
          </w:p>
        </w:tc>
      </w:tr>
      <w:tr w:rsidR="00A21FB8" w:rsidRPr="00A21FB8" w14:paraId="5930645C" w14:textId="77777777" w:rsidTr="00A21FB8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auto"/>
            </w:tcBorders>
            <w:vAlign w:val="center"/>
            <w:hideMark/>
          </w:tcPr>
          <w:p w14:paraId="3073E7B1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98C3D80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Enhancement of carbon sequestration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4204D4A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2.8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641D80A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3.3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709CE66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2.0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E4005EE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1.6</w:t>
            </w:r>
          </w:p>
        </w:tc>
      </w:tr>
      <w:tr w:rsidR="00A21FB8" w:rsidRPr="00A21FB8" w14:paraId="0008B545" w14:textId="77777777" w:rsidTr="00A21FB8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auto"/>
            </w:tcBorders>
            <w:vAlign w:val="center"/>
            <w:hideMark/>
          </w:tcPr>
          <w:p w14:paraId="308702A7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67D835B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Enhancement of pollination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82506DC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F8506BB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D60017C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3.0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725CBCF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1.6</w:t>
            </w:r>
          </w:p>
        </w:tc>
      </w:tr>
      <w:tr w:rsidR="00A21FB8" w:rsidRPr="00A21FB8" w14:paraId="38D37DB3" w14:textId="77777777" w:rsidTr="00A21FB8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auto"/>
            </w:tcBorders>
            <w:vAlign w:val="center"/>
            <w:hideMark/>
          </w:tcPr>
          <w:p w14:paraId="691ECF49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E031EB4" w14:textId="77777777" w:rsidR="00A21FB8" w:rsidRPr="00A21FB8" w:rsidRDefault="00A21FB8" w:rsidP="00A21FB8">
            <w:pPr>
              <w:spacing w:after="0"/>
              <w:rPr>
                <w:sz w:val="16"/>
                <w:szCs w:val="16"/>
                <w:lang w:val="en-US"/>
              </w:rPr>
            </w:pPr>
            <w:r w:rsidRPr="00A21FB8">
              <w:rPr>
                <w:sz w:val="16"/>
                <w:szCs w:val="16"/>
                <w:lang w:val="en-US"/>
              </w:rPr>
              <w:t>Limitation of extreme weather events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8BDB82E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2.0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14F9FEA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6B6C0BB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1.0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C0C8EE9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2.5</w:t>
            </w:r>
          </w:p>
        </w:tc>
      </w:tr>
      <w:tr w:rsidR="00A21FB8" w:rsidRPr="00A21FB8" w14:paraId="7C9BEB5E" w14:textId="77777777" w:rsidTr="00A21FB8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auto"/>
            </w:tcBorders>
            <w:vAlign w:val="center"/>
            <w:hideMark/>
          </w:tcPr>
          <w:p w14:paraId="248A1C03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1616CB7" w14:textId="77777777" w:rsidR="00A21FB8" w:rsidRPr="00A21FB8" w:rsidRDefault="00A21FB8" w:rsidP="00A21FB8">
            <w:pPr>
              <w:spacing w:after="0"/>
              <w:rPr>
                <w:sz w:val="16"/>
                <w:szCs w:val="16"/>
                <w:lang w:val="en-US"/>
              </w:rPr>
            </w:pPr>
            <w:r w:rsidRPr="00A21FB8">
              <w:rPr>
                <w:sz w:val="16"/>
                <w:szCs w:val="16"/>
                <w:lang w:val="en-US"/>
              </w:rPr>
              <w:t>Soil erosion prevention and maintenance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1948936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3.0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A60C990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E21775A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2.0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4EC699A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1.8</w:t>
            </w:r>
          </w:p>
        </w:tc>
      </w:tr>
      <w:tr w:rsidR="00A21FB8" w:rsidRPr="00A21FB8" w14:paraId="17D47158" w14:textId="77777777" w:rsidTr="00A21FB8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auto"/>
            </w:tcBorders>
            <w:vAlign w:val="center"/>
            <w:hideMark/>
          </w:tcPr>
          <w:p w14:paraId="04A17EB9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2871F34" w14:textId="77777777" w:rsidR="00A21FB8" w:rsidRPr="00A21FB8" w:rsidRDefault="00A21FB8" w:rsidP="00A21FB8">
            <w:pPr>
              <w:spacing w:after="0"/>
              <w:rPr>
                <w:sz w:val="16"/>
                <w:szCs w:val="16"/>
                <w:lang w:val="en-US"/>
              </w:rPr>
            </w:pPr>
            <w:r w:rsidRPr="00A21FB8">
              <w:rPr>
                <w:sz w:val="16"/>
                <w:szCs w:val="16"/>
                <w:lang w:val="en-US"/>
              </w:rPr>
              <w:t>Regulation of urban metabolism (e.g., organic waste)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4C4D6DF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2.0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E73FFB5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2.0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3257C4C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2.0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01E5CA2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1.0</w:t>
            </w:r>
          </w:p>
        </w:tc>
      </w:tr>
      <w:tr w:rsidR="00A21FB8" w:rsidRPr="00A21FB8" w14:paraId="11F0C9FF" w14:textId="77777777" w:rsidTr="00A21FB8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auto"/>
            </w:tcBorders>
            <w:vAlign w:val="center"/>
            <w:hideMark/>
          </w:tcPr>
          <w:p w14:paraId="4C0D032D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A3FB6C2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Average regulating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952E90C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2.9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CC35085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BF4CC04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1.7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9439D27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2.4</w:t>
            </w:r>
          </w:p>
        </w:tc>
      </w:tr>
      <w:tr w:rsidR="00A21FB8" w:rsidRPr="00A21FB8" w14:paraId="13A43B45" w14:textId="77777777" w:rsidTr="00A21FB8">
        <w:trPr>
          <w:tblCellSpacing w:w="15" w:type="dxa"/>
        </w:trPr>
        <w:tc>
          <w:tcPr>
            <w:tcW w:w="0" w:type="auto"/>
            <w:vMerge w:val="restart"/>
            <w:tcBorders>
              <w:bottom w:val="single" w:sz="6" w:space="0" w:color="auto"/>
            </w:tcBorders>
            <w:vAlign w:val="center"/>
            <w:hideMark/>
          </w:tcPr>
          <w:p w14:paraId="5D81F388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Habitat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D689593" w14:textId="77777777" w:rsidR="00A21FB8" w:rsidRPr="00A21FB8" w:rsidRDefault="00A21FB8" w:rsidP="00A21FB8">
            <w:pPr>
              <w:spacing w:after="0"/>
              <w:rPr>
                <w:sz w:val="16"/>
                <w:szCs w:val="16"/>
                <w:lang w:val="en-US"/>
              </w:rPr>
            </w:pPr>
            <w:r w:rsidRPr="00A21FB8">
              <w:rPr>
                <w:sz w:val="16"/>
                <w:szCs w:val="16"/>
                <w:lang w:val="en-US"/>
              </w:rPr>
              <w:t>Provision of habitat for fauna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03F1B32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3.0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0030B21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3.3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FCED324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C870A54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1.3</w:t>
            </w:r>
          </w:p>
        </w:tc>
      </w:tr>
      <w:tr w:rsidR="00A21FB8" w:rsidRPr="00A21FB8" w14:paraId="6B13540A" w14:textId="77777777" w:rsidTr="00A21FB8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auto"/>
            </w:tcBorders>
            <w:vAlign w:val="center"/>
            <w:hideMark/>
          </w:tcPr>
          <w:p w14:paraId="1E827832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E49DD80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Conservation of genetic variability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2C327FB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3E18FAA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4.0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F51518A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DB1DA5F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1.6</w:t>
            </w:r>
          </w:p>
        </w:tc>
      </w:tr>
      <w:tr w:rsidR="00A21FB8" w:rsidRPr="00A21FB8" w14:paraId="7B32C89A" w14:textId="77777777" w:rsidTr="00A21FB8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auto"/>
            </w:tcBorders>
            <w:vAlign w:val="center"/>
            <w:hideMark/>
          </w:tcPr>
          <w:p w14:paraId="5F8BE231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47154A2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Increase in global biodiversity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AC894BB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BFEA785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4.5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36D6E22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1.5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826FFDF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3.0</w:t>
            </w:r>
          </w:p>
        </w:tc>
      </w:tr>
      <w:tr w:rsidR="00A21FB8" w:rsidRPr="00A21FB8" w14:paraId="73CD7826" w14:textId="77777777" w:rsidTr="00A21FB8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auto"/>
            </w:tcBorders>
            <w:vAlign w:val="center"/>
            <w:hideMark/>
          </w:tcPr>
          <w:p w14:paraId="6646BDCB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2EC0CB5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Average habitat 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4B04E2C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3.3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AB3E6B2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3.9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2A6061E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2.2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645835E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2.0</w:t>
            </w:r>
          </w:p>
        </w:tc>
      </w:tr>
      <w:tr w:rsidR="00A21FB8" w:rsidRPr="00A21FB8" w14:paraId="3BD49476" w14:textId="77777777" w:rsidTr="00A21FB8">
        <w:trPr>
          <w:tblCellSpacing w:w="15" w:type="dxa"/>
        </w:trPr>
        <w:tc>
          <w:tcPr>
            <w:tcW w:w="0" w:type="auto"/>
            <w:vMerge w:val="restart"/>
            <w:tcBorders>
              <w:bottom w:val="single" w:sz="6" w:space="0" w:color="auto"/>
            </w:tcBorders>
            <w:vAlign w:val="center"/>
            <w:hideMark/>
          </w:tcPr>
          <w:p w14:paraId="2C874331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Socio-cultural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C296C2A" w14:textId="77777777" w:rsidR="00A21FB8" w:rsidRPr="00A21FB8" w:rsidRDefault="00A21FB8" w:rsidP="00A21FB8">
            <w:pPr>
              <w:spacing w:after="0"/>
              <w:rPr>
                <w:sz w:val="16"/>
                <w:szCs w:val="16"/>
                <w:lang w:val="en-US"/>
              </w:rPr>
            </w:pPr>
            <w:r w:rsidRPr="00A21FB8">
              <w:rPr>
                <w:sz w:val="16"/>
                <w:szCs w:val="16"/>
                <w:lang w:val="en-US"/>
              </w:rPr>
              <w:t>Contribution to training and education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C277E65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4.0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228BB30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4.0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FA1F9C0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4.0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3F72860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1.0</w:t>
            </w:r>
          </w:p>
        </w:tc>
      </w:tr>
      <w:tr w:rsidR="00A21FB8" w:rsidRPr="00A21FB8" w14:paraId="4229DDEF" w14:textId="77777777" w:rsidTr="00A21FB8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auto"/>
            </w:tcBorders>
            <w:vAlign w:val="center"/>
            <w:hideMark/>
          </w:tcPr>
          <w:p w14:paraId="65504570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384B9F8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New forms of recreation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5DF4898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3.3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1F0BF79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4.5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BEE26AE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1.0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A4E8AA6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4.5</w:t>
            </w:r>
          </w:p>
        </w:tc>
      </w:tr>
      <w:tr w:rsidR="00A21FB8" w:rsidRPr="00A21FB8" w14:paraId="53BD1FEC" w14:textId="77777777" w:rsidTr="00A21FB8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auto"/>
            </w:tcBorders>
            <w:vAlign w:val="center"/>
            <w:hideMark/>
          </w:tcPr>
          <w:p w14:paraId="5B33E9FF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1A4C31C" w14:textId="77777777" w:rsidR="00A21FB8" w:rsidRPr="00A21FB8" w:rsidRDefault="00A21FB8" w:rsidP="00A21FB8">
            <w:pPr>
              <w:spacing w:after="0"/>
              <w:rPr>
                <w:sz w:val="16"/>
                <w:szCs w:val="16"/>
                <w:lang w:val="en-US"/>
              </w:rPr>
            </w:pPr>
            <w:r w:rsidRPr="00A21FB8">
              <w:rPr>
                <w:sz w:val="16"/>
                <w:szCs w:val="16"/>
                <w:lang w:val="en-US"/>
              </w:rPr>
              <w:t>Improvement of touristic attractions in the city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8DE0374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83763C3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FFB1BE3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1.0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F69AA75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3.5</w:t>
            </w:r>
          </w:p>
        </w:tc>
      </w:tr>
      <w:tr w:rsidR="00A21FB8" w:rsidRPr="00A21FB8" w14:paraId="0E0E762A" w14:textId="77777777" w:rsidTr="00A21FB8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auto"/>
            </w:tcBorders>
            <w:vAlign w:val="center"/>
            <w:hideMark/>
          </w:tcPr>
          <w:p w14:paraId="197E7D46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498A66C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Improvement of mental health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F35355C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3.3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74CBFC6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4.5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665CEFF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1.0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AC2CBBA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4.5</w:t>
            </w:r>
          </w:p>
        </w:tc>
      </w:tr>
      <w:tr w:rsidR="00A21FB8" w:rsidRPr="00A21FB8" w14:paraId="31F23154" w14:textId="77777777" w:rsidTr="00A21FB8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auto"/>
            </w:tcBorders>
            <w:vAlign w:val="center"/>
            <w:hideMark/>
          </w:tcPr>
          <w:p w14:paraId="5BD7E9B2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52D3399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Improvement of physical health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2213792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F5D9E5A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4.5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590B306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1.5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B3095DE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3.0</w:t>
            </w:r>
          </w:p>
        </w:tc>
      </w:tr>
      <w:tr w:rsidR="00A21FB8" w:rsidRPr="00A21FB8" w14:paraId="0D544B32" w14:textId="77777777" w:rsidTr="00A21FB8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auto"/>
            </w:tcBorders>
            <w:vAlign w:val="center"/>
            <w:hideMark/>
          </w:tcPr>
          <w:p w14:paraId="335B2887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B2E81AF" w14:textId="77777777" w:rsidR="00A21FB8" w:rsidRPr="00A21FB8" w:rsidRDefault="00A21FB8" w:rsidP="00A21FB8">
            <w:pPr>
              <w:spacing w:after="0"/>
              <w:rPr>
                <w:sz w:val="16"/>
                <w:szCs w:val="16"/>
                <w:lang w:val="en-US"/>
              </w:rPr>
            </w:pPr>
            <w:r w:rsidRPr="00A21FB8">
              <w:rPr>
                <w:sz w:val="16"/>
                <w:szCs w:val="16"/>
                <w:lang w:val="en-US"/>
              </w:rPr>
              <w:t>Enhancement of the contact with nature and spirituality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231EAB8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3.8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0066E02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4.5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1B72268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9AFEE43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1.8</w:t>
            </w:r>
          </w:p>
        </w:tc>
      </w:tr>
      <w:tr w:rsidR="00A21FB8" w:rsidRPr="00A21FB8" w14:paraId="511463DF" w14:textId="77777777" w:rsidTr="00A21FB8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auto"/>
            </w:tcBorders>
            <w:vAlign w:val="center"/>
            <w:hideMark/>
          </w:tcPr>
          <w:p w14:paraId="75D5823F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AF296DC" w14:textId="77777777" w:rsidR="00A21FB8" w:rsidRPr="00A21FB8" w:rsidRDefault="00A21FB8" w:rsidP="00A21FB8">
            <w:pPr>
              <w:spacing w:after="0"/>
              <w:rPr>
                <w:sz w:val="16"/>
                <w:szCs w:val="16"/>
                <w:lang w:val="en-US"/>
              </w:rPr>
            </w:pPr>
            <w:r w:rsidRPr="00A21FB8">
              <w:rPr>
                <w:sz w:val="16"/>
                <w:szCs w:val="16"/>
                <w:lang w:val="en-US"/>
              </w:rPr>
              <w:t>Improvement of urban aesthetics and art inspiration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7924605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3.3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1950E52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4.5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E535E31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1.0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F51681F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4.5</w:t>
            </w:r>
          </w:p>
        </w:tc>
      </w:tr>
      <w:tr w:rsidR="00A21FB8" w:rsidRPr="00A21FB8" w14:paraId="110E6B03" w14:textId="77777777" w:rsidTr="00A21FB8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auto"/>
            </w:tcBorders>
            <w:vAlign w:val="center"/>
            <w:hideMark/>
          </w:tcPr>
          <w:p w14:paraId="16485075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F43684D" w14:textId="77777777" w:rsidR="00A21FB8" w:rsidRPr="00A21FB8" w:rsidRDefault="00A21FB8" w:rsidP="00A21FB8">
            <w:pPr>
              <w:spacing w:after="0"/>
              <w:rPr>
                <w:sz w:val="16"/>
                <w:szCs w:val="16"/>
                <w:lang w:val="en-US"/>
              </w:rPr>
            </w:pPr>
            <w:r w:rsidRPr="00A21FB8">
              <w:rPr>
                <w:sz w:val="16"/>
                <w:szCs w:val="16"/>
                <w:lang w:val="en-US"/>
              </w:rPr>
              <w:t>Preservation of cultural knowledge and heritage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8053CF9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3.3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C00DE9E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4.3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8693C26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1.5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8355518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2.8</w:t>
            </w:r>
          </w:p>
        </w:tc>
      </w:tr>
      <w:tr w:rsidR="00A21FB8" w:rsidRPr="00A21FB8" w14:paraId="0A5F1897" w14:textId="77777777" w:rsidTr="00A21FB8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auto"/>
            </w:tcBorders>
            <w:vAlign w:val="center"/>
            <w:hideMark/>
          </w:tcPr>
          <w:p w14:paraId="712C1E24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48D32EE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Improvement of community building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7E7A501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2.8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CB221AF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3.8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8C2F60A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1.0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A65B1B3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3.8</w:t>
            </w:r>
          </w:p>
        </w:tc>
      </w:tr>
      <w:tr w:rsidR="00A21FB8" w:rsidRPr="00A21FB8" w14:paraId="40DE48A9" w14:textId="77777777" w:rsidTr="00A21FB8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auto"/>
            </w:tcBorders>
            <w:vAlign w:val="center"/>
            <w:hideMark/>
          </w:tcPr>
          <w:p w14:paraId="7D3F164B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8473959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Improvement of social cohesion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F700025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2.8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6C26C2C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3.8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BBCC0EE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1.0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3424859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3.8</w:t>
            </w:r>
          </w:p>
        </w:tc>
      </w:tr>
      <w:tr w:rsidR="00A21FB8" w:rsidRPr="00A21FB8" w14:paraId="39B909CE" w14:textId="77777777" w:rsidTr="00A21FB8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auto"/>
            </w:tcBorders>
            <w:vAlign w:val="center"/>
            <w:hideMark/>
          </w:tcPr>
          <w:p w14:paraId="2A965C6E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564A40D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Improvement of place attachment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0F67A7C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3.0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AC5D93C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4.0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32BCC1B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1.0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24204A6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4.0</w:t>
            </w:r>
          </w:p>
        </w:tc>
      </w:tr>
      <w:tr w:rsidR="00A21FB8" w:rsidRPr="00A21FB8" w14:paraId="58CE0203" w14:textId="77777777" w:rsidTr="00A21FB8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auto"/>
            </w:tcBorders>
            <w:vAlign w:val="center"/>
            <w:hideMark/>
          </w:tcPr>
          <w:p w14:paraId="0AB9F1D8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A7F92F5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Contribution to political realization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B359048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0ECD460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3.3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89C45E2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1.0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E31D53A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3.3</w:t>
            </w:r>
          </w:p>
        </w:tc>
      </w:tr>
      <w:tr w:rsidR="00A21FB8" w:rsidRPr="00A21FB8" w14:paraId="532C9588" w14:textId="77777777" w:rsidTr="00A21FB8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auto"/>
            </w:tcBorders>
            <w:vAlign w:val="center"/>
            <w:hideMark/>
          </w:tcPr>
          <w:p w14:paraId="72301550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9AE914E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Average socio-cultural 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9091EE5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DF334EB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4.1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64213C8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1.5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FFDB599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3.4</w:t>
            </w:r>
          </w:p>
        </w:tc>
      </w:tr>
      <w:tr w:rsidR="00A21FB8" w:rsidRPr="00A21FB8" w14:paraId="0D4F8CD4" w14:textId="77777777" w:rsidTr="00A21FB8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auto"/>
            </w:tcBorders>
            <w:vAlign w:val="center"/>
            <w:hideMark/>
          </w:tcPr>
          <w:p w14:paraId="70717246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TOTAL AVERAGE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B39C889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3.1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2CF1933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3.8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E065C71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1.7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5154D9F" w14:textId="77777777" w:rsidR="00A21FB8" w:rsidRPr="00A21FB8" w:rsidRDefault="00A21FB8" w:rsidP="00A21FB8">
            <w:pPr>
              <w:spacing w:after="0"/>
              <w:rPr>
                <w:sz w:val="16"/>
                <w:szCs w:val="16"/>
              </w:rPr>
            </w:pPr>
            <w:r w:rsidRPr="00A21FB8">
              <w:rPr>
                <w:sz w:val="16"/>
                <w:szCs w:val="16"/>
              </w:rPr>
              <w:t>2.7</w:t>
            </w:r>
          </w:p>
        </w:tc>
      </w:tr>
    </w:tbl>
    <w:p w14:paraId="202AB800" w14:textId="77777777" w:rsidR="002859C3" w:rsidRDefault="002859C3"/>
    <w:sectPr w:rsidR="002859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E5"/>
    <w:rsid w:val="000233C9"/>
    <w:rsid w:val="000F3EE5"/>
    <w:rsid w:val="001D2E73"/>
    <w:rsid w:val="002859C3"/>
    <w:rsid w:val="002E3454"/>
    <w:rsid w:val="00320A20"/>
    <w:rsid w:val="005D4428"/>
    <w:rsid w:val="006A7CFE"/>
    <w:rsid w:val="006C203D"/>
    <w:rsid w:val="00724950"/>
    <w:rsid w:val="007B2548"/>
    <w:rsid w:val="00800DD2"/>
    <w:rsid w:val="00A21FB8"/>
    <w:rsid w:val="00C00E46"/>
    <w:rsid w:val="00D9064C"/>
    <w:rsid w:val="00EB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77EE"/>
  <w15:chartTrackingRefBased/>
  <w15:docId w15:val="{ABD1117E-CAD0-489F-925C-33012376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F3E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3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3E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F3E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F3E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F3E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F3E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F3E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F3E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3E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3E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3E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F3EE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F3EE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F3EE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F3EE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F3EE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F3EE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F3E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F3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3E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3E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F3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F3EE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F3EE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F3EE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3E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3EE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F3EE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859C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5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1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2071-1050/12/24/104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dpi.com/2071-1050/12/24/104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dpi.com/2071-1050/12/24/10446" TargetMode="External"/><Relationship Id="rId5" Type="http://schemas.openxmlformats.org/officeDocument/2006/relationships/hyperlink" Target="https://doi.org/10.3390/su12241044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i.org/10.3390/su12241044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903</Words>
  <Characters>5152</Characters>
  <Application>Microsoft Office Word</Application>
  <DocSecurity>0</DocSecurity>
  <Lines>42</Lines>
  <Paragraphs>12</Paragraphs>
  <ScaleCrop>false</ScaleCrop>
  <Company>Alma Mater Studiorum - Università di Bologna</Company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Orsini</dc:creator>
  <cp:keywords/>
  <dc:description/>
  <cp:lastModifiedBy>Irene Frascari</cp:lastModifiedBy>
  <cp:revision>3</cp:revision>
  <dcterms:created xsi:type="dcterms:W3CDTF">2025-02-04T08:07:00Z</dcterms:created>
  <dcterms:modified xsi:type="dcterms:W3CDTF">2025-02-04T08:27:00Z</dcterms:modified>
</cp:coreProperties>
</file>