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before="0" w:after="160"/>
        <w:ind w:hanging="10" w:start="39" w:end="1"/>
        <w:rPr>
          <w:lang w:val="en-US"/>
        </w:rPr>
      </w:pPr>
      <w:r>
        <w:rPr>
          <w:lang w:val="en-US"/>
        </w:rPr>
        <w:t xml:space="preserve">README file </w:t>
      </w:r>
    </w:p>
    <w:p>
      <w:pPr>
        <w:pStyle w:val="Normal"/>
        <w:spacing w:lineRule="auto" w:line="269" w:before="0" w:after="136"/>
        <w:ind w:hanging="10" w:start="-5"/>
        <w:jc w:val="both"/>
        <w:rPr>
          <w:szCs w:val="22"/>
          <w:lang w:val="en-US"/>
        </w:rPr>
      </w:pPr>
      <w:r>
        <w:rPr>
          <w:szCs w:val="22"/>
          <w:lang w:val="en-US"/>
        </w:rPr>
        <w:t xml:space="preserve">Dataset Title: </w:t>
      </w:r>
      <w:r>
        <w:rPr>
          <w:b/>
          <w:szCs w:val="22"/>
          <w:lang w:val="en-US"/>
        </w:rPr>
        <w:t xml:space="preserve">Data about the use of TBDC salts </w:t>
      </w:r>
      <w:r>
        <w:rPr>
          <w:b/>
          <w:szCs w:val="22"/>
          <w:lang w:val="en-US"/>
        </w:rPr>
        <w:t>and</w:t>
      </w:r>
      <w:r>
        <w:rPr>
          <w:b/>
          <w:szCs w:val="22"/>
          <w:lang w:val="en-US"/>
        </w:rPr>
        <w:t xml:space="preserve"> Oxyma Pure in Minimal Protection-Liquid Phase Peptide Synthesis (MP-LPPS)</w:t>
      </w:r>
      <w:r>
        <w:rPr>
          <w:szCs w:val="22"/>
          <w:lang w:val="en-US"/>
        </w:rPr>
        <w:t xml:space="preserve"> </w:t>
      </w:r>
    </w:p>
    <w:p>
      <w:pPr>
        <w:pStyle w:val="Normal"/>
        <w:spacing w:lineRule="auto" w:line="269" w:before="0" w:after="0"/>
        <w:ind w:hanging="10" w:start="-5"/>
        <w:jc w:val="both"/>
        <w:rPr>
          <w:szCs w:val="22"/>
        </w:rPr>
      </w:pPr>
      <w:r>
        <w:rPr>
          <w:szCs w:val="22"/>
        </w:rPr>
        <w:t xml:space="preserve">Dataset Authors: </w:t>
      </w:r>
    </w:p>
    <w:p>
      <w:pPr>
        <w:pStyle w:val="Normal"/>
        <w:spacing w:lineRule="auto" w:line="269" w:before="0" w:after="0"/>
        <w:ind w:hanging="10" w:start="-5"/>
        <w:jc w:val="both"/>
        <w:rPr>
          <w:color w:val="auto"/>
          <w:szCs w:val="22"/>
        </w:rPr>
      </w:pPr>
      <w:r>
        <w:rPr>
          <w:b/>
          <w:bCs/>
          <w:color w:val="auto"/>
          <w:szCs w:val="22"/>
        </w:rPr>
        <w:t>Lucia Ferrazzano</w:t>
      </w:r>
      <w:r>
        <w:rPr>
          <w:color w:val="auto"/>
          <w:szCs w:val="22"/>
        </w:rPr>
        <w:t xml:space="preserve"> (P4i Lab - Peptidomimetics and Peptides Targeting Protein-Protein Interaction, Department of Chemistry “Giacomo Ciamician”, Alma Mater Studiorum - University of Bologna, Via P. Gobetti 85, 40129, Bologna, Italy) ORCID </w:t>
      </w:r>
      <w:hyperlink r:id="rId2">
        <w:r>
          <w:rPr>
            <w:rStyle w:val="Hyperlink"/>
            <w:szCs w:val="22"/>
          </w:rPr>
          <w:t>0000-0002-7083-2211</w:t>
        </w:r>
      </w:hyperlink>
    </w:p>
    <w:p>
      <w:pPr>
        <w:pStyle w:val="FACorrespondingAuthorFootnote"/>
        <w:spacing w:lineRule="auto" w:line="276" w:before="0" w:after="0"/>
        <w:rPr>
          <w:rFonts w:ascii="Calibri" w:hAnsi="Calibri" w:cs="Calibri"/>
          <w:sz w:val="22"/>
          <w:szCs w:val="22"/>
          <w:lang w:val="it-IT"/>
        </w:rPr>
      </w:pPr>
      <w:r>
        <w:rPr>
          <w:rFonts w:cs="Calibri" w:ascii="Calibri" w:hAnsi="Calibri"/>
          <w:b/>
          <w:bCs/>
          <w:sz w:val="22"/>
          <w:szCs w:val="22"/>
          <w:lang w:val="it-IT"/>
        </w:rPr>
        <w:t>Dario Corbisiero</w:t>
      </w:r>
      <w:r>
        <w:rPr>
          <w:rFonts w:cs="Calibri" w:ascii="Calibri" w:hAnsi="Calibri"/>
          <w:sz w:val="22"/>
          <w:szCs w:val="22"/>
          <w:lang w:val="it-IT"/>
        </w:rPr>
        <w:t xml:space="preserve"> (P4i Lab - Peptidomimetics and Peptides Targeting Protein-Protein Interaction, Department of Chemistry “Giacomo Ciamician”, Alma Mater Studiorum - University of Bologna, Via P. Gobetti 85, 40129, Bologna, Italy) ORCID </w:t>
      </w:r>
      <w:hyperlink r:id="rId3">
        <w:r>
          <w:rPr>
            <w:rStyle w:val="Hyperlink"/>
            <w:rFonts w:cs="Calibri" w:ascii="Calibri" w:hAnsi="Calibri"/>
            <w:sz w:val="22"/>
            <w:szCs w:val="22"/>
            <w:lang w:val="it-IT"/>
          </w:rPr>
          <w:t>0000-0002-5818-1786</w:t>
        </w:r>
      </w:hyperlink>
    </w:p>
    <w:p>
      <w:pPr>
        <w:pStyle w:val="FACorrespondingAuthorFootnote"/>
        <w:spacing w:lineRule="auto" w:line="276" w:before="0" w:after="0"/>
        <w:rPr>
          <w:rFonts w:ascii="Calibri" w:hAnsi="Calibri" w:cs="Calibri"/>
          <w:sz w:val="22"/>
          <w:szCs w:val="22"/>
          <w:lang w:val="it-IT"/>
        </w:rPr>
      </w:pPr>
      <w:r>
        <w:rPr>
          <w:rFonts w:cs="Calibri" w:ascii="Calibri" w:hAnsi="Calibri"/>
          <w:b/>
          <w:bCs/>
          <w:sz w:val="22"/>
          <w:szCs w:val="22"/>
          <w:lang w:val="it-IT"/>
        </w:rPr>
        <w:t>Nicola Patrian</w:t>
      </w:r>
      <w:r>
        <w:rPr>
          <w:rFonts w:cs="Calibri" w:ascii="Calibri" w:hAnsi="Calibri"/>
          <w:sz w:val="22"/>
          <w:szCs w:val="22"/>
          <w:lang w:val="it-IT"/>
        </w:rPr>
        <w:t xml:space="preserve"> (P4i Lab - Peptidomimetics and Peptides Targeting Protein-Protein Interaction, Department of Chemistry “Giacomo Ciamician”, Alma Mater Studiorum - University of Bologna, Via P. Gobetti 85, 40129, Bologna, Italy) ORCID </w:t>
      </w:r>
      <w:r>
        <w:rPr>
          <w:rStyle w:val="Hyperlink"/>
          <w:rFonts w:cs="Calibri" w:ascii="Calibri" w:hAnsi="Calibri"/>
          <w:sz w:val="22"/>
          <w:szCs w:val="22"/>
          <w:lang w:val="it-IT"/>
        </w:rPr>
        <w:t>0009-0009-8005-1804</w:t>
      </w:r>
    </w:p>
    <w:p>
      <w:pPr>
        <w:pStyle w:val="FACorrespondingAuthorFootnote"/>
        <w:spacing w:lineRule="auto" w:line="276" w:before="0" w:after="0"/>
        <w:rPr>
          <w:rFonts w:ascii="Calibri" w:hAnsi="Calibri" w:cs="Calibri"/>
          <w:sz w:val="22"/>
          <w:szCs w:val="22"/>
          <w:lang w:val="it-IT"/>
        </w:rPr>
      </w:pPr>
      <w:r>
        <w:rPr>
          <w:rFonts w:cs="Calibri" w:ascii="Calibri" w:hAnsi="Calibri"/>
          <w:b/>
          <w:bCs/>
          <w:sz w:val="22"/>
          <w:szCs w:val="22"/>
          <w:lang w:val="it-IT"/>
        </w:rPr>
        <w:t>Riccardo Grigolato</w:t>
      </w:r>
      <w:r>
        <w:rPr>
          <w:rFonts w:cs="Calibri" w:ascii="Calibri" w:hAnsi="Calibri"/>
          <w:sz w:val="22"/>
          <w:szCs w:val="22"/>
          <w:lang w:val="it-IT"/>
        </w:rPr>
        <w:t xml:space="preserve"> (P4i Lab - Peptidomimetics and Peptides Targeting Protein-Protein Interaction, Department of Chemistry “Giacomo Ciamician”, Alma Mater Studiorum - University of Bologna, Via P. Gobetti 85, 40129, Bologna, Italy) </w:t>
      </w:r>
    </w:p>
    <w:p>
      <w:pPr>
        <w:pStyle w:val="FACorrespondingAuthorFootnote"/>
        <w:spacing w:lineRule="auto" w:line="276" w:before="0" w:after="0"/>
        <w:rPr>
          <w:rFonts w:ascii="Calibri" w:hAnsi="Calibri" w:cs="Calibri"/>
          <w:sz w:val="22"/>
          <w:szCs w:val="22"/>
          <w:lang w:val="it-IT"/>
        </w:rPr>
      </w:pPr>
      <w:r>
        <w:rPr>
          <w:rFonts w:cs="Calibri" w:ascii="Calibri" w:hAnsi="Calibri"/>
          <w:b/>
          <w:bCs/>
          <w:sz w:val="22"/>
          <w:szCs w:val="22"/>
          <w:lang w:val="it-IT"/>
        </w:rPr>
        <w:t xml:space="preserve">Alessandra Tiberti </w:t>
      </w:r>
      <w:r>
        <w:rPr>
          <w:rFonts w:cs="Calibri" w:ascii="Calibri" w:hAnsi="Calibri"/>
          <w:sz w:val="22"/>
          <w:szCs w:val="22"/>
          <w:lang w:val="it-IT"/>
        </w:rPr>
        <w:t xml:space="preserve">(P4i Lab - Peptidomimetics and Peptides Targeting Protein-Protein Interaction, Department of Chemistry “Giacomo Ciamician”, Alma Mater Studiorum - University of Bologna, Via P. Gobetti 85, 40129, Bologna, Italy) ORCID </w:t>
      </w:r>
      <w:r>
        <w:rPr>
          <w:rStyle w:val="Hyperlink"/>
          <w:rFonts w:cs="Calibri" w:ascii="Calibri" w:hAnsi="Calibri"/>
          <w:sz w:val="22"/>
          <w:szCs w:val="22"/>
          <w:lang w:val="it-IT"/>
        </w:rPr>
        <w:t>0009-0003-6409-7948</w:t>
      </w:r>
    </w:p>
    <w:p>
      <w:pPr>
        <w:pStyle w:val="FACorrespondingAuthorFootnote"/>
        <w:spacing w:lineRule="auto" w:line="276" w:before="0" w:after="0"/>
        <w:rPr>
          <w:rFonts w:ascii="Calibri" w:hAnsi="Calibri" w:cs="Calibri"/>
          <w:sz w:val="22"/>
          <w:szCs w:val="22"/>
        </w:rPr>
      </w:pPr>
      <w:r>
        <w:rPr>
          <w:rFonts w:cs="Calibri" w:ascii="Calibri" w:hAnsi="Calibri"/>
          <w:b/>
          <w:bCs/>
          <w:sz w:val="22"/>
          <w:szCs w:val="22"/>
          <w:lang w:val="it-IT"/>
        </w:rPr>
        <w:t>Leonardo Rapisarda</w:t>
      </w:r>
      <w:r>
        <w:rPr>
          <w:rFonts w:cs="Calibri" w:ascii="Calibri" w:hAnsi="Calibri"/>
          <w:sz w:val="22"/>
          <w:szCs w:val="22"/>
          <w:lang w:val="it-IT"/>
        </w:rPr>
        <w:t xml:space="preserve"> (P4i Lab - Peptidomimetics and Peptides Targeting Protein-Protein Interaction, Department of Chemistry “Giacomo Ciamician”, Alma Mater Studiorum - University of Bologna, Via P. Gobetti 85, 40129, Bologna, Italy) ORCID </w:t>
      </w:r>
      <w:hyperlink r:id="rId4">
        <w:r>
          <w:rPr>
            <w:rStyle w:val="Hyperlink"/>
            <w:rFonts w:cs="Calibri" w:ascii="Calibri" w:hAnsi="Calibri"/>
            <w:sz w:val="22"/>
            <w:szCs w:val="22"/>
            <w:lang w:val="it-IT"/>
          </w:rPr>
          <w:t>0009-0008-3251-5523</w:t>
        </w:r>
      </w:hyperlink>
    </w:p>
    <w:p>
      <w:pPr>
        <w:pStyle w:val="FACorrespondingAuthorFootnote"/>
        <w:spacing w:lineRule="auto" w:line="276" w:before="0" w:after="0"/>
        <w:rPr>
          <w:rFonts w:ascii="Calibri" w:hAnsi="Calibri" w:cs="Calibri"/>
          <w:sz w:val="22"/>
          <w:szCs w:val="22"/>
          <w:lang w:val="it-IT"/>
        </w:rPr>
      </w:pPr>
      <w:r>
        <w:rPr>
          <w:rFonts w:cs="Calibri" w:ascii="Calibri" w:hAnsi="Calibri"/>
          <w:b/>
          <w:bCs/>
          <w:sz w:val="22"/>
          <w:szCs w:val="22"/>
          <w:lang w:val="it-IT"/>
        </w:rPr>
        <w:t>Walter Cabri</w:t>
      </w:r>
      <w:r>
        <w:rPr>
          <w:rFonts w:cs="Calibri" w:ascii="Calibri" w:hAnsi="Calibri"/>
          <w:sz w:val="22"/>
          <w:szCs w:val="22"/>
          <w:lang w:val="it-IT"/>
        </w:rPr>
        <w:t xml:space="preserve"> (P4i Lab - Peptidomimetics and Peptides Targeting Protein-Protein Interaction, Department of Chemistry “Giacomo Ciamician”, Alma Mater Studiorum - University of Bologna, Via P. Gobetti 85, 40129, Bologna, Italy) ORCID </w:t>
      </w:r>
      <w:hyperlink r:id="rId5">
        <w:r>
          <w:rPr>
            <w:rStyle w:val="Hyperlink"/>
            <w:rFonts w:cs="Calibri" w:ascii="Calibri" w:hAnsi="Calibri"/>
            <w:sz w:val="22"/>
            <w:szCs w:val="22"/>
            <w:lang w:val="it-IT"/>
          </w:rPr>
          <w:t>0000-0001-7865-0474</w:t>
        </w:r>
      </w:hyperlink>
    </w:p>
    <w:p>
      <w:pPr>
        <w:pStyle w:val="FACorrespondingAuthorFootnote"/>
        <w:spacing w:lineRule="auto" w:line="276" w:before="0" w:after="0"/>
        <w:rPr>
          <w:rFonts w:ascii="Calibri" w:hAnsi="Calibri" w:cs="Calibri"/>
          <w:sz w:val="22"/>
          <w:szCs w:val="22"/>
          <w:lang w:val="it-IT"/>
        </w:rPr>
      </w:pPr>
      <w:r>
        <w:rPr>
          <w:rFonts w:cs="Calibri" w:ascii="Calibri" w:hAnsi="Calibri"/>
          <w:b/>
          <w:bCs/>
          <w:sz w:val="22"/>
          <w:szCs w:val="22"/>
          <w:lang w:val="it-IT"/>
        </w:rPr>
        <w:t>Alessandra Tolomelli</w:t>
      </w:r>
      <w:r>
        <w:rPr>
          <w:rFonts w:cs="Calibri" w:ascii="Calibri" w:hAnsi="Calibri"/>
          <w:sz w:val="22"/>
          <w:szCs w:val="22"/>
          <w:lang w:val="it-IT"/>
        </w:rPr>
        <w:t xml:space="preserve"> (P4i Lab - Peptidomimetics and Peptides Targeting Protein-Protein Interaction, Department of Chemistry “Giacomo Ciamician”, Alma Mater Studiorum - University of Bologna, Via P. Gobetti 85, 40129, Bologna, Italy) ORCID </w:t>
      </w:r>
      <w:hyperlink r:id="rId6">
        <w:r>
          <w:rPr>
            <w:rStyle w:val="Hyperlink"/>
            <w:rFonts w:cs="Calibri" w:ascii="Calibri" w:hAnsi="Calibri"/>
            <w:sz w:val="22"/>
            <w:szCs w:val="22"/>
            <w:lang w:val="it-IT"/>
          </w:rPr>
          <w:t>0000-0003-4202-1136</w:t>
        </w:r>
      </w:hyperlink>
    </w:p>
    <w:p>
      <w:pPr>
        <w:pStyle w:val="FACorrespondingAuthorFootnote"/>
        <w:spacing w:lineRule="auto" w:line="276" w:before="0" w:after="0"/>
        <w:rPr/>
      </w:pPr>
      <w:r>
        <w:rPr/>
      </w:r>
    </w:p>
    <w:p>
      <w:pPr>
        <w:pStyle w:val="Normal"/>
        <w:spacing w:lineRule="auto" w:line="252" w:before="0" w:after="4"/>
        <w:jc w:val="both"/>
        <w:rPr>
          <w:lang w:val="en-US"/>
        </w:rPr>
      </w:pPr>
      <w:r>
        <w:rPr>
          <w:lang w:val="en-US"/>
        </w:rPr>
        <w:t xml:space="preserve">Dataset contact persons: </w:t>
      </w:r>
      <w:r>
        <w:rPr>
          <w:b/>
          <w:lang w:val="en-US"/>
        </w:rPr>
        <w:t>Lucia Ferrazzano</w:t>
      </w:r>
      <w:r>
        <w:rPr>
          <w:lang w:val="en-US"/>
        </w:rPr>
        <w:t xml:space="preserve">, Department of Chemistry “Giacomo Ciamician”, University of </w:t>
      </w:r>
    </w:p>
    <w:p>
      <w:pPr>
        <w:pStyle w:val="Normal"/>
        <w:ind w:hanging="10" w:start="-5"/>
        <w:jc w:val="both"/>
        <w:rPr/>
      </w:pPr>
      <w:r>
        <w:rPr/>
        <w:t xml:space="preserve">Bologna, Via P. Gobetti 85, 40129 Bologna, Italy, </w:t>
      </w:r>
      <w:hyperlink r:id="rId7">
        <w:r>
          <w:rPr>
            <w:rStyle w:val="Hyperlink"/>
          </w:rPr>
          <w:t>lucia.ferrazzano4@unibo.it</w:t>
        </w:r>
      </w:hyperlink>
      <w:r>
        <w:rPr/>
        <w:t>.</w:t>
      </w:r>
    </w:p>
    <w:p>
      <w:pPr>
        <w:pStyle w:val="Normal"/>
        <w:spacing w:lineRule="auto" w:line="259" w:before="0" w:after="0"/>
        <w:ind w:hanging="0" w:start="0"/>
        <w:rPr/>
      </w:pPr>
      <w:r>
        <w:rPr/>
        <w:t xml:space="preserve"> </w:t>
      </w:r>
    </w:p>
    <w:p>
      <w:pPr>
        <w:pStyle w:val="Normal"/>
        <w:ind w:hanging="10" w:start="-5"/>
        <w:rPr>
          <w:lang w:val="en-US"/>
        </w:rPr>
      </w:pPr>
      <w:r>
        <w:rPr>
          <w:lang w:val="en-US"/>
        </w:rPr>
        <w:t xml:space="preserve">Dataset License: this data set is distributed under a </w:t>
      </w:r>
      <w:r>
        <w:rPr>
          <w:b/>
          <w:lang w:val="en-US"/>
        </w:rPr>
        <w:t>Creative Commons Attribution 4.0 International</w:t>
      </w:r>
      <w:r>
        <w:rPr>
          <w:lang w:val="en-US"/>
        </w:rPr>
        <w:t xml:space="preserve"> </w:t>
      </w:r>
      <w:r>
        <w:rPr>
          <w:b/>
          <w:lang w:val="en-US"/>
        </w:rPr>
        <w:t xml:space="preserve">(CC BY 4.) </w:t>
      </w:r>
      <w:r>
        <w:rPr>
          <w:lang w:val="en-US"/>
        </w:rPr>
        <w:t xml:space="preserve">license, </w:t>
      </w:r>
      <w:hyperlink r:id="rId8">
        <w:r>
          <w:rPr>
            <w:rStyle w:val="Hyperlink"/>
            <w:lang w:val="en-US"/>
          </w:rPr>
          <w:t>https://creativecommons.org/licenses/by/4.0/</w:t>
        </w:r>
      </w:hyperlink>
      <w:r>
        <w:rPr>
          <w:lang w:val="en-US"/>
        </w:rPr>
        <w:t xml:space="preserve">. </w:t>
      </w:r>
    </w:p>
    <w:p>
      <w:pPr>
        <w:pStyle w:val="Normal"/>
        <w:spacing w:lineRule="auto" w:line="259" w:before="0" w:after="0"/>
        <w:ind w:hanging="0" w:start="0"/>
        <w:rPr>
          <w:lang w:val="en-US"/>
        </w:rPr>
      </w:pPr>
      <w:r>
        <w:rPr>
          <w:lang w:val="en-US"/>
        </w:rPr>
        <w:t xml:space="preserve"> </w:t>
      </w:r>
    </w:p>
    <w:p>
      <w:pPr>
        <w:pStyle w:val="Normal"/>
        <w:ind w:hanging="10" w:start="-5"/>
        <w:rPr>
          <w:lang w:val="en-US"/>
        </w:rPr>
      </w:pPr>
      <w:r>
        <w:rPr>
          <w:lang w:val="en-US"/>
        </w:rPr>
        <w:t xml:space="preserve">Publication year: </w:t>
      </w:r>
      <w:r>
        <w:rPr>
          <w:b/>
          <w:lang w:val="en-US"/>
        </w:rPr>
        <w:t>2026</w:t>
      </w:r>
      <w:r>
        <w:rPr>
          <w:lang w:val="en-US"/>
        </w:rPr>
        <w:t xml:space="preserve"> </w:t>
      </w:r>
    </w:p>
    <w:p>
      <w:pPr>
        <w:pStyle w:val="Normal"/>
        <w:spacing w:lineRule="auto" w:line="259" w:before="0" w:after="0"/>
        <w:ind w:hanging="0" w:start="0"/>
        <w:rPr>
          <w:lang w:val="en-US"/>
        </w:rPr>
      </w:pPr>
      <w:r>
        <w:rPr>
          <w:lang w:val="en-US"/>
        </w:rPr>
        <w:t xml:space="preserve"> </w:t>
      </w:r>
    </w:p>
    <w:p>
      <w:pPr>
        <w:pStyle w:val="Heading1"/>
        <w:ind w:hanging="10" w:start="39"/>
        <w:rPr>
          <w:lang w:val="en-US"/>
        </w:rPr>
      </w:pPr>
      <w:r>
        <w:rPr>
          <w:lang w:val="en-US"/>
        </w:rPr>
        <w:t xml:space="preserve">Dataset contents </w:t>
      </w:r>
    </w:p>
    <w:p>
      <w:pPr>
        <w:pStyle w:val="Normal"/>
        <w:ind w:hanging="10" w:start="-5"/>
        <w:rPr>
          <w:lang w:val="en-US"/>
        </w:rPr>
      </w:pPr>
      <w:r>
        <w:rPr>
          <w:lang w:val="en-US"/>
        </w:rPr>
        <w:t xml:space="preserve">The dataset consists of: </w:t>
      </w:r>
    </w:p>
    <w:p>
      <w:pPr>
        <w:pStyle w:val="ListParagraph"/>
        <w:numPr>
          <w:ilvl w:val="0"/>
          <w:numId w:val="2"/>
        </w:numPr>
        <w:rPr>
          <w:lang w:val="en-US"/>
        </w:rPr>
      </w:pPr>
      <w:r>
        <w:rPr>
          <w:bCs/>
          <w:lang w:val="en-US"/>
        </w:rPr>
        <w:t>4 .xlsx files named “</w:t>
      </w:r>
      <w:r>
        <w:rPr>
          <w:b/>
          <w:lang w:val="en-US"/>
        </w:rPr>
        <w:t xml:space="preserve">PMI_Calculations_Peptide_20a”, “PMI_Calculations_Peptide_20b”, </w:t>
      </w:r>
      <w:r>
        <w:rPr>
          <w:bCs/>
          <w:lang w:val="en-US"/>
        </w:rPr>
        <w:t>“</w:t>
      </w:r>
      <w:r>
        <w:rPr>
          <w:b/>
          <w:lang w:val="en-US"/>
        </w:rPr>
        <w:t>PMI_Calculations_Peptide_20a_VALUES”, “PMI_Calculations_Peptide_20b_VALUES”</w:t>
      </w:r>
    </w:p>
    <w:p>
      <w:pPr>
        <w:pStyle w:val="ListParagraph"/>
        <w:numPr>
          <w:ilvl w:val="0"/>
          <w:numId w:val="2"/>
        </w:numPr>
        <w:rPr>
          <w:lang w:val="en-US"/>
        </w:rPr>
      </w:pPr>
      <w:r>
        <w:rPr>
          <w:lang w:val="en-US"/>
        </w:rPr>
        <w:t>44 folders named as follow:</w:t>
      </w:r>
    </w:p>
    <w:p>
      <w:pPr>
        <w:pStyle w:val="Heading1"/>
        <w:ind w:hanging="0" w:start="345"/>
        <w:jc w:val="start"/>
        <w:rPr>
          <w:bCs/>
          <w:color w:val="000000"/>
          <w:lang w:val="en-US"/>
        </w:rPr>
      </w:pPr>
      <w:r>
        <w:rPr>
          <w:bCs/>
          <w:color w:val="000000"/>
          <w:lang w:val="en-US"/>
        </w:rPr>
        <w:t>NMR_of_18-1a</w:t>
      </w:r>
    </w:p>
    <w:p>
      <w:pPr>
        <w:pStyle w:val="Heading1"/>
        <w:ind w:hanging="0" w:start="345"/>
        <w:jc w:val="start"/>
        <w:rPr>
          <w:bCs/>
          <w:color w:val="000000"/>
          <w:lang w:val="en-US"/>
        </w:rPr>
      </w:pPr>
      <w:r>
        <w:rPr>
          <w:bCs/>
          <w:color w:val="000000"/>
          <w:lang w:val="en-US"/>
        </w:rPr>
        <w:t>NMR_of_18-1b</w:t>
      </w:r>
    </w:p>
    <w:p>
      <w:pPr>
        <w:pStyle w:val="Heading1"/>
        <w:ind w:hanging="0" w:start="345"/>
        <w:jc w:val="start"/>
        <w:rPr>
          <w:bCs/>
          <w:color w:val="000000"/>
          <w:lang w:val="en-US"/>
        </w:rPr>
      </w:pPr>
      <w:r>
        <w:rPr>
          <w:bCs/>
          <w:color w:val="000000"/>
          <w:lang w:val="en-US"/>
        </w:rPr>
        <w:t>NMR_of_18a</w:t>
      </w:r>
    </w:p>
    <w:p>
      <w:pPr>
        <w:pStyle w:val="Heading1"/>
        <w:ind w:hanging="0" w:start="345"/>
        <w:jc w:val="start"/>
        <w:rPr>
          <w:bCs/>
          <w:color w:val="000000"/>
          <w:lang w:val="en-US"/>
        </w:rPr>
      </w:pPr>
      <w:r>
        <w:rPr>
          <w:bCs/>
          <w:color w:val="000000"/>
          <w:lang w:val="en-US"/>
        </w:rPr>
        <w:t>NMR_of_18b</w:t>
      </w:r>
    </w:p>
    <w:p>
      <w:pPr>
        <w:pStyle w:val="Heading1"/>
        <w:ind w:hanging="0" w:start="345"/>
        <w:jc w:val="start"/>
        <w:rPr>
          <w:bCs/>
          <w:color w:val="000000"/>
          <w:lang w:val="en-US"/>
        </w:rPr>
      </w:pPr>
      <w:r>
        <w:rPr>
          <w:bCs/>
          <w:color w:val="000000"/>
          <w:lang w:val="en-US"/>
        </w:rPr>
        <w:t>Stability_of_5a_at_t0_in_ACN</w:t>
      </w:r>
    </w:p>
    <w:p>
      <w:pPr>
        <w:pStyle w:val="Heading1"/>
        <w:ind w:hanging="0" w:start="345"/>
        <w:jc w:val="start"/>
        <w:rPr>
          <w:bCs/>
          <w:color w:val="000000"/>
          <w:lang w:val="en-US"/>
        </w:rPr>
      </w:pPr>
      <w:r>
        <w:rPr>
          <w:bCs/>
          <w:color w:val="000000"/>
          <w:lang w:val="en-US"/>
        </w:rPr>
        <w:t>Stability_of_5a_at_t0_in_D2O</w:t>
      </w:r>
    </w:p>
    <w:p>
      <w:pPr>
        <w:pStyle w:val="Heading1"/>
        <w:ind w:hanging="0" w:start="345"/>
        <w:jc w:val="start"/>
        <w:rPr>
          <w:bCs/>
          <w:color w:val="000000"/>
          <w:lang w:val="en-US"/>
        </w:rPr>
      </w:pPr>
      <w:r>
        <w:rPr>
          <w:bCs/>
          <w:color w:val="000000"/>
          <w:lang w:val="en-US"/>
        </w:rPr>
        <w:t>Stability_of_5a_at_t0_in_DMF</w:t>
      </w:r>
    </w:p>
    <w:p>
      <w:pPr>
        <w:pStyle w:val="Heading1"/>
        <w:ind w:hanging="0" w:start="345"/>
        <w:jc w:val="start"/>
        <w:rPr>
          <w:bCs/>
          <w:color w:val="000000"/>
          <w:lang w:val="en-US"/>
        </w:rPr>
      </w:pPr>
      <w:r>
        <w:rPr>
          <w:bCs/>
          <w:color w:val="000000"/>
          <w:lang w:val="en-US"/>
        </w:rPr>
        <w:t>Stability_of_5a_at_t0_in_DMSO</w:t>
      </w:r>
    </w:p>
    <w:p>
      <w:pPr>
        <w:pStyle w:val="Heading1"/>
        <w:ind w:hanging="0" w:start="345"/>
        <w:jc w:val="start"/>
        <w:rPr>
          <w:bCs/>
          <w:color w:val="000000"/>
          <w:lang w:val="en-US"/>
        </w:rPr>
      </w:pPr>
      <w:r>
        <w:rPr>
          <w:bCs/>
          <w:color w:val="000000"/>
          <w:lang w:val="en-US"/>
        </w:rPr>
        <w:t>Stability_of_5a_at_t0_in_THF</w:t>
      </w:r>
    </w:p>
    <w:p>
      <w:pPr>
        <w:pStyle w:val="Heading1"/>
        <w:ind w:hanging="0" w:start="345"/>
        <w:jc w:val="start"/>
        <w:rPr>
          <w:bCs/>
          <w:color w:val="000000"/>
          <w:lang w:val="en-US"/>
        </w:rPr>
      </w:pPr>
      <w:r>
        <w:rPr>
          <w:bCs/>
          <w:color w:val="000000"/>
          <w:lang w:val="en-US"/>
        </w:rPr>
        <w:t>Stability_of_5a_at_t24_hours_in_D2O</w:t>
      </w:r>
    </w:p>
    <w:p>
      <w:pPr>
        <w:pStyle w:val="Heading1"/>
        <w:ind w:hanging="0" w:start="345"/>
        <w:jc w:val="start"/>
        <w:rPr>
          <w:bCs/>
          <w:color w:val="000000"/>
          <w:lang w:val="en-US"/>
        </w:rPr>
      </w:pPr>
      <w:r>
        <w:rPr>
          <w:bCs/>
          <w:color w:val="000000"/>
          <w:lang w:val="en-US"/>
        </w:rPr>
        <w:t>Stability_of_5a_at_t3_weeks_in_ACN</w:t>
      </w:r>
    </w:p>
    <w:p>
      <w:pPr>
        <w:pStyle w:val="Heading1"/>
        <w:ind w:hanging="0" w:start="345"/>
        <w:jc w:val="start"/>
        <w:rPr>
          <w:bCs/>
          <w:color w:val="000000"/>
          <w:lang w:val="en-US"/>
        </w:rPr>
      </w:pPr>
      <w:r>
        <w:rPr>
          <w:bCs/>
          <w:color w:val="000000"/>
          <w:lang w:val="en-US"/>
        </w:rPr>
        <w:t>Stability_of_5a_at_t3_weeks_in_DMF</w:t>
      </w:r>
    </w:p>
    <w:p>
      <w:pPr>
        <w:pStyle w:val="Heading1"/>
        <w:ind w:hanging="0" w:start="345"/>
        <w:jc w:val="start"/>
        <w:rPr>
          <w:bCs/>
          <w:color w:val="000000"/>
          <w:lang w:val="en-US"/>
        </w:rPr>
      </w:pPr>
      <w:r>
        <w:rPr>
          <w:bCs/>
          <w:color w:val="000000"/>
          <w:lang w:val="en-US"/>
        </w:rPr>
        <w:t>Stability_of_5a_at_t3_weeks_in_DMSO</w:t>
      </w:r>
    </w:p>
    <w:p>
      <w:pPr>
        <w:pStyle w:val="Heading1"/>
        <w:ind w:hanging="0" w:start="345"/>
        <w:jc w:val="start"/>
        <w:rPr>
          <w:bCs/>
          <w:color w:val="000000"/>
          <w:lang w:val="en-US"/>
        </w:rPr>
      </w:pPr>
      <w:r>
        <w:rPr>
          <w:bCs/>
          <w:color w:val="000000"/>
          <w:lang w:val="en-US"/>
        </w:rPr>
        <w:t>Stability_of_5a_at_t6_hours_in_D2O</w:t>
      </w:r>
    </w:p>
    <w:p>
      <w:pPr>
        <w:pStyle w:val="Heading1"/>
        <w:ind w:hanging="0" w:start="345"/>
        <w:jc w:val="start"/>
        <w:rPr>
          <w:bCs/>
          <w:color w:val="000000"/>
          <w:lang w:val="en-US"/>
        </w:rPr>
      </w:pPr>
      <w:r>
        <w:rPr>
          <w:bCs/>
          <w:color w:val="000000"/>
          <w:lang w:val="en-US"/>
        </w:rPr>
        <w:t xml:space="preserve">Stability_of_5a_at_t6_weeks_in_ACN   </w:t>
      </w:r>
    </w:p>
    <w:p>
      <w:pPr>
        <w:pStyle w:val="Heading1"/>
        <w:ind w:hanging="0" w:start="345"/>
        <w:jc w:val="start"/>
        <w:rPr>
          <w:bCs/>
          <w:color w:val="000000"/>
          <w:lang w:val="en-US"/>
        </w:rPr>
      </w:pPr>
      <w:r>
        <w:rPr>
          <w:bCs/>
          <w:color w:val="000000"/>
          <w:lang w:val="en-US"/>
        </w:rPr>
        <w:t>Stability_of_5a_at_t6_weeks_in_DMF</w:t>
      </w:r>
    </w:p>
    <w:p>
      <w:pPr>
        <w:pStyle w:val="Heading1"/>
        <w:ind w:hanging="0" w:start="345"/>
        <w:jc w:val="start"/>
        <w:rPr>
          <w:bCs/>
          <w:color w:val="000000"/>
          <w:lang w:val="en-US"/>
        </w:rPr>
      </w:pPr>
      <w:r>
        <w:rPr>
          <w:bCs/>
          <w:color w:val="000000"/>
          <w:lang w:val="en-US"/>
        </w:rPr>
        <w:t>Stability_of_5a_at_t6_weeks_in_DMSO</w:t>
      </w:r>
    </w:p>
    <w:p>
      <w:pPr>
        <w:pStyle w:val="Heading1"/>
        <w:ind w:hanging="0" w:start="345"/>
        <w:jc w:val="start"/>
        <w:rPr>
          <w:bCs/>
          <w:color w:val="000000"/>
          <w:lang w:val="en-US"/>
        </w:rPr>
      </w:pPr>
      <w:r>
        <w:rPr>
          <w:bCs/>
          <w:color w:val="000000"/>
          <w:lang w:val="en-US"/>
        </w:rPr>
        <w:t>Stability_of_5b_at_t0_in_ACN</w:t>
      </w:r>
    </w:p>
    <w:p>
      <w:pPr>
        <w:pStyle w:val="Heading1"/>
        <w:ind w:hanging="0" w:start="345"/>
        <w:jc w:val="start"/>
        <w:rPr>
          <w:bCs/>
          <w:color w:val="000000"/>
          <w:lang w:val="en-US"/>
        </w:rPr>
      </w:pPr>
      <w:r>
        <w:rPr>
          <w:bCs/>
          <w:color w:val="000000"/>
          <w:lang w:val="en-US"/>
        </w:rPr>
        <w:t>Stability_of_5b_at_t0_in_D2O</w:t>
      </w:r>
    </w:p>
    <w:p>
      <w:pPr>
        <w:pStyle w:val="Heading1"/>
        <w:ind w:hanging="0" w:start="345"/>
        <w:jc w:val="start"/>
        <w:rPr>
          <w:bCs/>
          <w:color w:val="000000"/>
          <w:lang w:val="en-US"/>
        </w:rPr>
      </w:pPr>
      <w:r>
        <w:rPr>
          <w:bCs/>
          <w:color w:val="000000"/>
          <w:lang w:val="en-US"/>
        </w:rPr>
        <w:t>Stability_of_5b_at_t0_in_DMF</w:t>
      </w:r>
    </w:p>
    <w:p>
      <w:pPr>
        <w:pStyle w:val="Heading1"/>
        <w:ind w:hanging="0" w:start="345"/>
        <w:jc w:val="start"/>
        <w:rPr>
          <w:bCs/>
          <w:color w:val="000000"/>
          <w:lang w:val="en-US"/>
        </w:rPr>
      </w:pPr>
      <w:r>
        <w:rPr>
          <w:bCs/>
          <w:color w:val="000000"/>
          <w:lang w:val="en-US"/>
        </w:rPr>
        <w:t>Stability_of_5b_at_t0_in_DMSO</w:t>
      </w:r>
    </w:p>
    <w:p>
      <w:pPr>
        <w:pStyle w:val="Heading1"/>
        <w:ind w:hanging="0" w:start="345"/>
        <w:jc w:val="start"/>
        <w:rPr>
          <w:bCs/>
          <w:color w:val="000000"/>
          <w:lang w:val="en-US"/>
        </w:rPr>
      </w:pPr>
      <w:r>
        <w:rPr>
          <w:bCs/>
          <w:color w:val="000000"/>
          <w:lang w:val="en-US"/>
        </w:rPr>
        <w:t>Stability_of_5b_at_t0_in_THF</w:t>
      </w:r>
    </w:p>
    <w:p>
      <w:pPr>
        <w:pStyle w:val="Heading1"/>
        <w:ind w:hanging="0" w:start="345"/>
        <w:jc w:val="start"/>
        <w:rPr>
          <w:bCs/>
          <w:color w:val="000000"/>
          <w:lang w:val="en-US"/>
        </w:rPr>
      </w:pPr>
      <w:r>
        <w:rPr>
          <w:bCs/>
          <w:color w:val="000000"/>
          <w:lang w:val="en-US"/>
        </w:rPr>
        <w:t>Stability_of_5b_at_t0_THF-DMSO9-1</w:t>
      </w:r>
    </w:p>
    <w:p>
      <w:pPr>
        <w:pStyle w:val="Heading1"/>
        <w:ind w:hanging="0" w:start="345"/>
        <w:jc w:val="start"/>
        <w:rPr>
          <w:bCs/>
          <w:color w:val="000000"/>
          <w:lang w:val="en-US"/>
        </w:rPr>
      </w:pPr>
      <w:r>
        <w:rPr>
          <w:bCs/>
          <w:color w:val="000000"/>
          <w:lang w:val="en-US"/>
        </w:rPr>
        <w:t>Stability_of_5b_at_t24_hours_in_D2O</w:t>
      </w:r>
    </w:p>
    <w:p>
      <w:pPr>
        <w:pStyle w:val="Heading1"/>
        <w:ind w:hanging="0" w:start="345"/>
        <w:jc w:val="start"/>
        <w:rPr>
          <w:bCs/>
          <w:color w:val="000000"/>
          <w:lang w:val="en-US"/>
        </w:rPr>
      </w:pPr>
      <w:r>
        <w:rPr>
          <w:bCs/>
          <w:color w:val="000000"/>
          <w:lang w:val="en-US"/>
        </w:rPr>
        <w:t>Stability_of_5b_at_t24_hours_THF-DMSO9-1</w:t>
      </w:r>
    </w:p>
    <w:p>
      <w:pPr>
        <w:pStyle w:val="Heading1"/>
        <w:ind w:hanging="0" w:start="345"/>
        <w:jc w:val="start"/>
        <w:rPr>
          <w:bCs/>
          <w:color w:val="000000"/>
          <w:lang w:val="en-US"/>
        </w:rPr>
      </w:pPr>
      <w:r>
        <w:rPr>
          <w:bCs/>
          <w:color w:val="000000"/>
          <w:lang w:val="en-US"/>
        </w:rPr>
        <w:t>Stability_of_5b_at_t3_weeks_in_ACN</w:t>
      </w:r>
    </w:p>
    <w:p>
      <w:pPr>
        <w:pStyle w:val="Heading1"/>
        <w:ind w:hanging="0" w:start="345"/>
        <w:jc w:val="start"/>
        <w:rPr>
          <w:bCs/>
          <w:color w:val="000000"/>
          <w:lang w:val="en-US"/>
        </w:rPr>
      </w:pPr>
      <w:r>
        <w:rPr>
          <w:bCs/>
          <w:color w:val="000000"/>
          <w:lang w:val="en-US"/>
        </w:rPr>
        <w:t>Stability_of_5b_at_t3_weeks_in_DMF</w:t>
      </w:r>
    </w:p>
    <w:p>
      <w:pPr>
        <w:pStyle w:val="Heading1"/>
        <w:ind w:hanging="0" w:start="345"/>
        <w:jc w:val="start"/>
        <w:rPr>
          <w:bCs/>
          <w:color w:val="000000"/>
          <w:lang w:val="en-US"/>
        </w:rPr>
      </w:pPr>
      <w:r>
        <w:rPr>
          <w:bCs/>
          <w:color w:val="000000"/>
          <w:lang w:val="en-US"/>
        </w:rPr>
        <w:t>Stability_of_5b_at_t3_weeks_in_DMSO</w:t>
      </w:r>
    </w:p>
    <w:p>
      <w:pPr>
        <w:pStyle w:val="Heading1"/>
        <w:ind w:hanging="0" w:start="345"/>
        <w:jc w:val="start"/>
        <w:rPr>
          <w:bCs/>
          <w:color w:val="000000"/>
          <w:lang w:val="en-US"/>
        </w:rPr>
      </w:pPr>
      <w:r>
        <w:rPr>
          <w:bCs/>
          <w:color w:val="000000"/>
          <w:lang w:val="en-US"/>
        </w:rPr>
        <w:t>Stability_of_5b_at_t3_weeks_in_THF</w:t>
      </w:r>
    </w:p>
    <w:p>
      <w:pPr>
        <w:pStyle w:val="Heading1"/>
        <w:ind w:hanging="0" w:start="345"/>
        <w:jc w:val="start"/>
        <w:rPr>
          <w:bCs/>
          <w:color w:val="000000"/>
          <w:lang w:val="en-US"/>
        </w:rPr>
      </w:pPr>
      <w:r>
        <w:rPr>
          <w:bCs/>
          <w:color w:val="000000"/>
          <w:lang w:val="en-US"/>
        </w:rPr>
        <w:t>Stability_of_5b_at_t6_hours_in_D2O</w:t>
      </w:r>
    </w:p>
    <w:p>
      <w:pPr>
        <w:pStyle w:val="Heading1"/>
        <w:ind w:hanging="0" w:start="345"/>
        <w:jc w:val="start"/>
        <w:rPr>
          <w:bCs/>
          <w:color w:val="000000"/>
          <w:lang w:val="en-US"/>
        </w:rPr>
      </w:pPr>
      <w:r>
        <w:rPr>
          <w:bCs/>
          <w:color w:val="000000"/>
          <w:lang w:val="en-US"/>
        </w:rPr>
        <w:t>Stability_of_5b_at_t6_hours_THF-DMSO9-1</w:t>
      </w:r>
    </w:p>
    <w:p>
      <w:pPr>
        <w:pStyle w:val="Heading1"/>
        <w:ind w:hanging="0" w:start="345"/>
        <w:jc w:val="start"/>
        <w:rPr>
          <w:bCs/>
          <w:color w:val="000000"/>
          <w:lang w:val="en-US"/>
        </w:rPr>
      </w:pPr>
      <w:r>
        <w:rPr>
          <w:bCs/>
          <w:color w:val="000000"/>
          <w:lang w:val="en-US"/>
        </w:rPr>
        <w:t>Stability_of_5b_at_t6_weeks_in_ACN</w:t>
      </w:r>
    </w:p>
    <w:p>
      <w:pPr>
        <w:pStyle w:val="Heading1"/>
        <w:ind w:hanging="0" w:start="345"/>
        <w:jc w:val="start"/>
        <w:rPr>
          <w:bCs/>
          <w:color w:val="000000"/>
          <w:lang w:val="en-US"/>
        </w:rPr>
      </w:pPr>
      <w:r>
        <w:rPr>
          <w:bCs/>
          <w:color w:val="000000"/>
          <w:lang w:val="en-US"/>
        </w:rPr>
        <w:t>Stability_of_5b_at_t6_weeks_in_DMF</w:t>
      </w:r>
    </w:p>
    <w:p>
      <w:pPr>
        <w:pStyle w:val="Heading1"/>
        <w:ind w:hanging="0" w:start="345"/>
        <w:jc w:val="start"/>
        <w:rPr>
          <w:bCs/>
          <w:color w:val="000000"/>
          <w:lang w:val="en-US"/>
        </w:rPr>
      </w:pPr>
      <w:r>
        <w:rPr>
          <w:bCs/>
          <w:color w:val="000000"/>
          <w:lang w:val="en-US"/>
        </w:rPr>
        <w:t>Stability_of_5b_at_t6_weeks_in_DMSO</w:t>
      </w:r>
    </w:p>
    <w:p>
      <w:pPr>
        <w:pStyle w:val="Heading1"/>
        <w:ind w:hanging="0" w:start="345"/>
        <w:jc w:val="start"/>
        <w:rPr>
          <w:bCs/>
          <w:color w:val="000000"/>
          <w:lang w:val="en-US"/>
        </w:rPr>
      </w:pPr>
      <w:r>
        <w:rPr>
          <w:bCs/>
          <w:color w:val="000000"/>
          <w:lang w:val="en-US"/>
        </w:rPr>
        <w:t>Stability_of_5b_at_t6_weeks_in_THF</w:t>
      </w:r>
    </w:p>
    <w:p>
      <w:pPr>
        <w:pStyle w:val="Heading1"/>
        <w:ind w:hanging="0" w:start="345"/>
        <w:jc w:val="start"/>
        <w:rPr>
          <w:bCs/>
          <w:color w:val="000000"/>
          <w:lang w:val="en-US"/>
        </w:rPr>
      </w:pPr>
      <w:r>
        <w:rPr>
          <w:bCs/>
          <w:color w:val="000000"/>
          <w:lang w:val="en-US"/>
        </w:rPr>
        <w:t>Stability_of_5c_at_t0_in_D2O</w:t>
      </w:r>
    </w:p>
    <w:p>
      <w:pPr>
        <w:pStyle w:val="Heading1"/>
        <w:ind w:hanging="0" w:start="345"/>
        <w:jc w:val="start"/>
        <w:rPr>
          <w:bCs/>
          <w:color w:val="000000"/>
          <w:lang w:val="en-US"/>
        </w:rPr>
      </w:pPr>
      <w:r>
        <w:rPr>
          <w:bCs/>
          <w:color w:val="000000"/>
          <w:lang w:val="en-US"/>
        </w:rPr>
        <w:t>Stability_of_5c_at_t0_THF-DMSO9-1</w:t>
      </w:r>
    </w:p>
    <w:p>
      <w:pPr>
        <w:pStyle w:val="Heading1"/>
        <w:ind w:hanging="0" w:start="345"/>
        <w:jc w:val="start"/>
        <w:rPr>
          <w:bCs/>
          <w:color w:val="000000"/>
          <w:lang w:val="en-US"/>
        </w:rPr>
      </w:pPr>
      <w:r>
        <w:rPr>
          <w:bCs/>
          <w:color w:val="000000"/>
          <w:lang w:val="en-US"/>
        </w:rPr>
        <w:t>Stability_of_5c_at_t24_hours_in_D2O</w:t>
      </w:r>
    </w:p>
    <w:p>
      <w:pPr>
        <w:pStyle w:val="Heading1"/>
        <w:ind w:hanging="0" w:start="345"/>
        <w:jc w:val="start"/>
        <w:rPr>
          <w:bCs/>
          <w:color w:val="000000"/>
          <w:lang w:val="en-US"/>
        </w:rPr>
      </w:pPr>
      <w:r>
        <w:rPr>
          <w:bCs/>
          <w:color w:val="000000"/>
          <w:lang w:val="en-US"/>
        </w:rPr>
        <w:t>Stability_of_5c_at_t24_hours_THF-DMSO9-1</w:t>
      </w:r>
    </w:p>
    <w:p>
      <w:pPr>
        <w:pStyle w:val="Heading1"/>
        <w:ind w:hanging="0" w:start="345"/>
        <w:jc w:val="start"/>
        <w:rPr>
          <w:bCs/>
          <w:color w:val="000000"/>
          <w:lang w:val="en-US"/>
        </w:rPr>
      </w:pPr>
      <w:r>
        <w:rPr>
          <w:bCs/>
          <w:color w:val="000000"/>
          <w:lang w:val="en-US"/>
        </w:rPr>
        <w:t>Stability_of_5c_at_t6_hours_in_D2O</w:t>
      </w:r>
    </w:p>
    <w:p>
      <w:pPr>
        <w:pStyle w:val="Heading1"/>
        <w:ind w:hanging="0" w:start="345"/>
        <w:jc w:val="start"/>
        <w:rPr>
          <w:bCs/>
          <w:color w:val="000000"/>
          <w:lang w:val="en-US"/>
        </w:rPr>
      </w:pPr>
      <w:r>
        <w:rPr>
          <w:bCs/>
          <w:color w:val="000000"/>
          <w:lang w:val="en-US"/>
        </w:rPr>
        <w:t>Stability_of_5c_at_t6_hours_THF-DMSO9-1</w:t>
      </w:r>
    </w:p>
    <w:p>
      <w:pPr>
        <w:pStyle w:val="Heading1"/>
        <w:ind w:hanging="0" w:start="345"/>
        <w:jc w:val="start"/>
        <w:rPr>
          <w:bCs/>
          <w:color w:val="000000"/>
          <w:lang w:val="en-US"/>
        </w:rPr>
      </w:pPr>
      <w:r>
        <w:rPr>
          <w:bCs/>
          <w:color w:val="000000"/>
          <w:lang w:val="en-US"/>
        </w:rPr>
        <w:t>Stability_of_EDC_HCl_at_t0_in_D2O</w:t>
      </w:r>
    </w:p>
    <w:p>
      <w:pPr>
        <w:pStyle w:val="Heading1"/>
        <w:ind w:hanging="0" w:start="345"/>
        <w:jc w:val="start"/>
        <w:rPr>
          <w:bCs/>
          <w:color w:val="000000"/>
          <w:lang w:val="en-US"/>
        </w:rPr>
      </w:pPr>
      <w:r>
        <w:rPr>
          <w:bCs/>
          <w:color w:val="000000"/>
          <w:lang w:val="en-US"/>
        </w:rPr>
        <w:t>Stability_of_EDC_HCl_at_t24_hours_in_D2O</w:t>
      </w:r>
    </w:p>
    <w:p>
      <w:pPr>
        <w:pStyle w:val="Heading1"/>
        <w:ind w:hanging="0" w:start="345"/>
        <w:jc w:val="start"/>
        <w:rPr>
          <w:b w:val="false"/>
          <w:lang w:val="en-US"/>
        </w:rPr>
      </w:pPr>
      <w:r>
        <w:rPr>
          <w:bCs/>
          <w:color w:val="000000"/>
          <w:lang w:val="en-US"/>
        </w:rPr>
        <w:t>Stability_of_EDC_HCl_at_t6_hours_in_D2O</w:t>
      </w:r>
    </w:p>
    <w:p>
      <w:pPr>
        <w:pStyle w:val="Heading1"/>
        <w:numPr>
          <w:ilvl w:val="0"/>
          <w:numId w:val="2"/>
        </w:numPr>
        <w:jc w:val="both"/>
        <w:rPr>
          <w:b w:val="false"/>
          <w:lang w:val="en-US"/>
        </w:rPr>
      </w:pPr>
      <w:r>
        <w:rPr>
          <w:b w:val="false"/>
          <w:color w:val="auto"/>
          <w:lang w:val="en-US"/>
        </w:rPr>
        <w:t>1 readme file saved in .docx . format named “README.docx”</w:t>
      </w:r>
    </w:p>
    <w:p>
      <w:pPr>
        <w:pStyle w:val="Heading1"/>
        <w:ind w:hanging="0" w:start="-284"/>
        <w:jc w:val="start"/>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Heading1"/>
        <w:ind w:hanging="0" w:start="-284"/>
        <w:rPr>
          <w:lang w:val="en-US"/>
        </w:rPr>
      </w:pPr>
      <w:r>
        <w:rPr>
          <w:lang w:val="en-US"/>
        </w:rPr>
        <w:t>Dataset documentation</w:t>
      </w:r>
    </w:p>
    <w:p>
      <w:pPr>
        <w:pStyle w:val="Normal"/>
        <w:spacing w:lineRule="auto" w:line="259" w:before="0" w:after="0"/>
        <w:ind w:hanging="0" w:start="79"/>
        <w:jc w:val="center"/>
        <w:rPr>
          <w:lang w:val="en-US"/>
        </w:rPr>
      </w:pPr>
      <w:r>
        <w:rPr>
          <w:b/>
          <w:color w:val="4472C4"/>
          <w:lang w:val="en-US"/>
        </w:rPr>
        <w:t xml:space="preserve"> </w:t>
      </w:r>
    </w:p>
    <w:p>
      <w:pPr>
        <w:pStyle w:val="Heading2"/>
        <w:spacing w:before="0" w:after="240"/>
        <w:ind w:hanging="10" w:start="-5"/>
        <w:rPr>
          <w:lang w:val="en-US"/>
        </w:rPr>
      </w:pPr>
      <w:r>
        <w:rPr>
          <w:lang w:val="en-US"/>
        </w:rPr>
        <w:t xml:space="preserve">Abstract </w:t>
      </w:r>
    </w:p>
    <w:p>
      <w:pPr>
        <w:pStyle w:val="Normal"/>
        <w:spacing w:lineRule="auto" w:line="259" w:before="0" w:after="0"/>
        <w:ind w:hanging="0" w:start="0"/>
        <w:jc w:val="both"/>
        <w:rPr/>
      </w:pPr>
      <w:r>
        <w:rPr/>
        <w:t xml:space="preserve">This dataset supports the development of sustainable methodologies for liquid-phase peptide synthesis (LPPS) using minimal protected amino acids. It includes experimental data related to the use of </w:t>
      </w:r>
      <w:r>
        <w:rPr>
          <w:i/>
          <w:iCs/>
        </w:rPr>
        <w:t>N</w:t>
      </w:r>
      <w:r>
        <w:rPr/>
        <w:t>-(3-dimethylaminopropyl)-</w:t>
      </w:r>
      <w:r>
        <w:rPr>
          <w:i/>
          <w:iCs/>
        </w:rPr>
        <w:t>N′</w:t>
      </w:r>
      <w:r>
        <w:rPr/>
        <w:t xml:space="preserve">-tert-butylcarbodiimide (TBDC) tosylate as a coupling reagent in minimal protected liquid-phase peptide synthesis (MP-LPPS), aimed at improving atom economy (AE) and reducing process mass intensity (PMI). The dataset contains characterization data and analytical results for peptide sequences prepared without side-chain protection of arginine, histidine, tyrosine, and tryptophan. Data were obtained using 2-methyltetrahydrofuran (2-MeTHF) as the main solvent under sustainable reaction conditions. </w:t>
      </w:r>
    </w:p>
    <w:p>
      <w:pPr>
        <w:pStyle w:val="Normal"/>
        <w:spacing w:lineRule="auto" w:line="259" w:before="0" w:after="0"/>
        <w:ind w:hanging="0" w:start="0"/>
        <w:rPr>
          <w:lang w:val="en-US"/>
        </w:rPr>
      </w:pPr>
      <w:r>
        <w:rPr>
          <w:lang w:val="en-US"/>
        </w:rPr>
      </w:r>
    </w:p>
    <w:p>
      <w:pPr>
        <w:pStyle w:val="Heading2"/>
        <w:spacing w:before="0" w:after="240"/>
        <w:ind w:hanging="10" w:start="-5"/>
        <w:jc w:val="both"/>
        <w:rPr>
          <w:lang w:val="en-US"/>
        </w:rPr>
      </w:pPr>
      <w:r>
        <w:rPr>
          <w:lang w:val="en-US"/>
        </w:rPr>
        <w:t xml:space="preserve">Content of the files </w:t>
      </w:r>
    </w:p>
    <w:p>
      <w:pPr>
        <w:pStyle w:val="Normal"/>
        <w:ind w:hanging="0" w:start="-15"/>
        <w:jc w:val="both"/>
        <w:rPr>
          <w:lang w:val="en-US"/>
        </w:rPr>
      </w:pPr>
      <w:r>
        <w:rPr>
          <w:lang w:val="en-US"/>
        </w:rPr>
        <w:t xml:space="preserve">The dataset contains 4 .xlsx files containing formula for calculation of Process Mass Intensity (PMI) for the synthesis of peptides </w:t>
      </w:r>
      <w:r>
        <w:rPr>
          <w:b/>
          <w:bCs/>
          <w:lang w:val="en-US"/>
        </w:rPr>
        <w:t>20a</w:t>
      </w:r>
      <w:r>
        <w:rPr>
          <w:lang w:val="en-US"/>
        </w:rPr>
        <w:t xml:space="preserve"> and </w:t>
      </w:r>
      <w:r>
        <w:rPr>
          <w:b/>
          <w:bCs/>
          <w:lang w:val="en-US"/>
        </w:rPr>
        <w:t>20b</w:t>
      </w:r>
      <w:r>
        <w:rPr>
          <w:lang w:val="en-US"/>
        </w:rPr>
        <w:t xml:space="preserve"> via MP-LPPS, respectively “PMI_Calculations_Peptide_20a” and “PMI_Calculations_Peptide_20a_VALUES”, and “PMI_Calculations_Peptide_20b” and “PMI_Calculations_Peptide_20b_VALUES”. Each file contains different sheets reporting formula and calculations related to synthetic protocols 1, 2 and 3 (namely sheets “20</w:t>
      </w:r>
      <w:r>
        <w:rPr>
          <w:b/>
          <w:bCs/>
          <w:lang w:val="en-US"/>
        </w:rPr>
        <w:t>x</w:t>
      </w:r>
      <w:r>
        <w:rPr>
          <w:lang w:val="en-US"/>
        </w:rPr>
        <w:t>_Prot</w:t>
      </w:r>
      <w:r>
        <w:rPr>
          <w:b/>
          <w:bCs/>
          <w:lang w:val="en-US"/>
        </w:rPr>
        <w:t>y</w:t>
      </w:r>
      <w:r>
        <w:rPr>
          <w:lang w:val="en-US"/>
        </w:rPr>
        <w:t>_ACN”), including the variation regarding the additional cleavage step (namely sheets “20</w:t>
      </w:r>
      <w:r>
        <w:rPr>
          <w:b/>
          <w:bCs/>
          <w:lang w:val="en-US"/>
        </w:rPr>
        <w:t>x</w:t>
      </w:r>
      <w:r>
        <w:rPr>
          <w:lang w:val="en-US"/>
        </w:rPr>
        <w:t>_Prot</w:t>
      </w:r>
      <w:r>
        <w:rPr>
          <w:b/>
          <w:bCs/>
          <w:lang w:val="en-US"/>
        </w:rPr>
        <w:t>y</w:t>
      </w:r>
      <w:r>
        <w:rPr>
          <w:lang w:val="en-US"/>
        </w:rPr>
        <w:t xml:space="preserve">_ACN_Cleav_Included”), as reported in the reference paper </w:t>
      </w:r>
      <w:r>
        <w:rPr>
          <w:i/>
          <w:iCs/>
          <w:lang w:val="en-US"/>
        </w:rPr>
        <w:t>ACS Sust. Chem. Eng.</w:t>
      </w:r>
      <w:r>
        <w:rPr>
          <w:lang w:val="en-US"/>
        </w:rPr>
        <w:t xml:space="preserve"> </w:t>
      </w:r>
      <w:r>
        <w:rPr>
          <w:b/>
          <w:bCs/>
          <w:lang w:val="en-US"/>
        </w:rPr>
        <w:t>2026</w:t>
      </w:r>
      <w:r>
        <w:rPr>
          <w:lang w:val="en-US"/>
        </w:rPr>
        <w:t xml:space="preserve">, forthcoming. These files can be elaborated via Microsoft Excel. </w:t>
      </w:r>
    </w:p>
    <w:p>
      <w:pPr>
        <w:pStyle w:val="Normal"/>
        <w:spacing w:lineRule="auto" w:line="252" w:before="0" w:after="4"/>
        <w:ind w:hanging="0" w:start="360"/>
        <w:jc w:val="both"/>
        <w:rPr>
          <w:lang w:val="en-US"/>
        </w:rPr>
      </w:pPr>
      <w:r>
        <w:rPr>
          <w:lang w:val="en-US"/>
        </w:rPr>
      </w:r>
    </w:p>
    <w:p>
      <w:pPr>
        <w:pStyle w:val="Normal"/>
        <w:spacing w:before="0" w:after="153"/>
        <w:ind w:hanging="10" w:start="-5"/>
        <w:jc w:val="both"/>
        <w:rPr>
          <w:lang w:val="en-US"/>
        </w:rPr>
      </w:pPr>
      <w:r>
        <w:rPr>
          <w:lang w:val="en-US"/>
        </w:rPr>
        <w:t xml:space="preserve">Then, the dataset contains 4 folders including </w:t>
      </w:r>
      <w:r>
        <w:rPr>
          <w:vertAlign w:val="superscript"/>
          <w:lang w:val="en-US"/>
        </w:rPr>
        <w:t>1</w:t>
      </w:r>
      <w:r>
        <w:rPr>
          <w:lang w:val="en-US"/>
        </w:rPr>
        <w:t xml:space="preserve">H-NMR (subfolder “1”) and </w:t>
      </w:r>
      <w:r>
        <w:rPr>
          <w:vertAlign w:val="superscript"/>
          <w:lang w:val="en-US"/>
        </w:rPr>
        <w:t>13</w:t>
      </w:r>
      <w:r>
        <w:rPr>
          <w:lang w:val="en-US"/>
        </w:rPr>
        <w:t xml:space="preserve">C-NMR (subfolder “2”) associated with structural characterization of intermediates </w:t>
      </w:r>
      <w:r>
        <w:rPr>
          <w:b/>
          <w:bCs/>
          <w:lang w:val="en-US"/>
        </w:rPr>
        <w:t>18a</w:t>
      </w:r>
      <w:r>
        <w:rPr>
          <w:lang w:val="en-US"/>
        </w:rPr>
        <w:t xml:space="preserve">, </w:t>
      </w:r>
      <w:r>
        <w:rPr>
          <w:b/>
          <w:bCs/>
          <w:lang w:val="en-US"/>
        </w:rPr>
        <w:t>18b</w:t>
      </w:r>
      <w:r>
        <w:rPr>
          <w:lang w:val="en-US"/>
        </w:rPr>
        <w:t xml:space="preserve">, </w:t>
      </w:r>
      <w:r>
        <w:rPr>
          <w:b/>
          <w:bCs/>
          <w:lang w:val="en-US"/>
        </w:rPr>
        <w:t>18.1a</w:t>
      </w:r>
      <w:r>
        <w:rPr>
          <w:lang w:val="en-US"/>
        </w:rPr>
        <w:t xml:space="preserve">, </w:t>
      </w:r>
      <w:r>
        <w:rPr>
          <w:b/>
          <w:bCs/>
          <w:lang w:val="en-US"/>
        </w:rPr>
        <w:t>18.1b</w:t>
      </w:r>
      <w:r>
        <w:rPr>
          <w:lang w:val="en-US"/>
        </w:rPr>
        <w:t xml:space="preserve"> and 40 forlders including </w:t>
      </w:r>
      <w:r>
        <w:rPr>
          <w:vertAlign w:val="superscript"/>
          <w:lang w:val="en-US"/>
        </w:rPr>
        <w:t>1</w:t>
      </w:r>
      <w:r>
        <w:rPr>
          <w:lang w:val="en-US"/>
        </w:rPr>
        <w:t xml:space="preserve">H-NMR studies on stability over time (0, 6h, 24h, 3 weeks, 6 weeks) of carbodiimides </w:t>
      </w:r>
      <w:r>
        <w:rPr>
          <w:b/>
          <w:bCs/>
          <w:lang w:val="en-US"/>
        </w:rPr>
        <w:t>5a</w:t>
      </w:r>
      <w:r>
        <w:rPr>
          <w:lang w:val="en-US"/>
        </w:rPr>
        <w:t xml:space="preserve">, </w:t>
      </w:r>
      <w:r>
        <w:rPr>
          <w:b/>
          <w:bCs/>
          <w:lang w:val="en-US"/>
        </w:rPr>
        <w:t>5b</w:t>
      </w:r>
      <w:r>
        <w:rPr>
          <w:lang w:val="en-US"/>
        </w:rPr>
        <w:t xml:space="preserve">, </w:t>
      </w:r>
      <w:r>
        <w:rPr>
          <w:b/>
          <w:bCs/>
          <w:lang w:val="en-US"/>
        </w:rPr>
        <w:t>5c</w:t>
      </w:r>
      <w:r>
        <w:rPr>
          <w:lang w:val="en-US"/>
        </w:rPr>
        <w:t xml:space="preserve"> and EDC</w:t>
      </w:r>
      <w:r>
        <w:rPr>
          <w:vertAlign w:val="superscript"/>
          <w:lang w:val="en-US"/>
        </w:rPr>
        <w:t>.</w:t>
      </w:r>
      <w:r>
        <w:rPr>
          <w:lang w:val="en-US"/>
        </w:rPr>
        <w:t>HCl in solvents.</w:t>
      </w:r>
    </w:p>
    <w:p>
      <w:pPr>
        <w:pStyle w:val="Normal"/>
        <w:ind w:hanging="0" w:start="0"/>
        <w:jc w:val="both"/>
        <w:rPr>
          <w:lang w:val="en-US"/>
        </w:rPr>
      </w:pPr>
      <w:r>
        <w:rPr>
          <w:lang w:val="en-US"/>
        </w:rPr>
      </w:r>
    </w:p>
    <w:p>
      <w:pPr>
        <w:pStyle w:val="Heading2"/>
        <w:spacing w:before="0" w:after="164"/>
        <w:ind w:hanging="10" w:start="-5"/>
        <w:jc w:val="both"/>
        <w:rPr>
          <w:lang w:val="en-US"/>
        </w:rPr>
      </w:pPr>
      <w:r>
        <w:rPr>
          <w:lang w:val="en-US"/>
        </w:rPr>
        <w:t xml:space="preserve">Methodologies </w:t>
      </w:r>
    </w:p>
    <w:p>
      <w:pPr>
        <w:pStyle w:val="Normal"/>
        <w:spacing w:lineRule="auto" w:line="276"/>
        <w:ind w:hanging="0" w:start="0"/>
        <w:jc w:val="both"/>
        <w:rPr>
          <w:bCs/>
        </w:rPr>
      </w:pPr>
      <w:r>
        <w:rPr>
          <w:bCs/>
        </w:rPr>
        <w:t>NMR spectra were recorded on Varian 400-MR (400 MHz) (equipped with autoswitchable PFG probe) and Bruker Avance Neo 600 MHz (equipped with CryoProbe Prodigy Broadband 5mm) spectrometers. The used software for acquisition were OpenVnmrJ and TopSpin. The file can be opened via the abovementioned softwares or via MestreNova or SpinWorks, or any other software for NMR data releaboration. The acquisition was conducted at room temperature. The samples for the analysis were prepared dissolving each sample in CDCl</w:t>
      </w:r>
      <w:r>
        <w:rPr>
          <w:bCs/>
          <w:vertAlign w:val="subscript"/>
        </w:rPr>
        <w:t>3</w:t>
      </w:r>
      <w:r>
        <w:rPr>
          <w:bCs/>
        </w:rPr>
        <w:t>.</w:t>
      </w:r>
    </w:p>
    <w:p>
      <w:pPr>
        <w:pStyle w:val="Normal"/>
        <w:spacing w:lineRule="auto" w:line="276"/>
        <w:ind w:hanging="0" w:start="0"/>
        <w:jc w:val="both"/>
        <w:rPr>
          <w:bCs/>
        </w:rPr>
      </w:pPr>
      <w:r>
        <w:rPr>
          <w:bCs/>
        </w:rPr>
        <w:t>Detailed synthetic procedures for products generation were reported in the manuscript this dataset refers to.</w:t>
      </w:r>
    </w:p>
    <w:p>
      <w:pPr>
        <w:pStyle w:val="Normal"/>
        <w:spacing w:lineRule="auto" w:line="276"/>
        <w:ind w:hanging="0" w:start="0"/>
        <w:jc w:val="both"/>
        <w:rPr/>
      </w:pPr>
      <w:r>
        <w:rPr/>
      </w:r>
    </w:p>
    <w:p>
      <w:pPr>
        <w:pStyle w:val="Heading2"/>
        <w:spacing w:before="0" w:after="164"/>
        <w:ind w:hanging="10" w:start="-5"/>
        <w:jc w:val="both"/>
        <w:rPr>
          <w:lang w:val="en-US"/>
        </w:rPr>
      </w:pPr>
      <w:r>
        <w:rPr>
          <w:lang w:val="en-US"/>
        </w:rPr>
        <w:t>Notes</w:t>
      </w:r>
    </w:p>
    <w:p>
      <w:pPr>
        <w:pStyle w:val="Normal"/>
        <w:ind w:hanging="10" w:start="-5"/>
        <w:jc w:val="both"/>
        <w:rPr>
          <w:lang w:val="en-US"/>
        </w:rPr>
      </w:pPr>
      <w:r>
        <w:rPr>
          <w:lang w:val="en-US"/>
        </w:rPr>
        <w:t xml:space="preserve">All data refers to experimental studies reported in the publication: </w:t>
      </w:r>
      <w:r>
        <w:rPr>
          <w:b/>
          <w:bCs/>
          <w:lang w:val="en-US"/>
        </w:rPr>
        <w:t xml:space="preserve">Corbisiero D., Patrian N., Grigolato R., Tiberti A., Rapisarda L., Tolomelli A., Cabri W., Ferrazzano L., Enhancing Atom Economy via Minimal Protection- Liquid Phase Peptide Synthesis (MP-LPPS) Using TBDC Salts/Oxyma Pure, ACS Sust. Chem. Eng. 2026, </w:t>
      </w:r>
      <w:hyperlink r:id="rId9">
        <w:r>
          <w:rPr>
            <w:rStyle w:val="Hyperlink"/>
            <w:b/>
            <w:bCs/>
            <w:lang w:val="en-US"/>
          </w:rPr>
          <w:t>https://doi.org/10.1021/acssuschemeng.6c04338</w:t>
        </w:r>
      </w:hyperlink>
      <w:r>
        <w:rPr>
          <w:b/>
          <w:bCs/>
          <w:lang w:val="en-US"/>
        </w:rPr>
        <w:t>.</w:t>
      </w:r>
    </w:p>
    <w:p>
      <w:pPr>
        <w:pStyle w:val="Normal"/>
        <w:spacing w:lineRule="auto" w:line="276"/>
        <w:ind w:hanging="0" w:start="0"/>
        <w:jc w:val="both"/>
        <w:rPr>
          <w:lang w:val="en-US"/>
        </w:rPr>
      </w:pPr>
      <w:r>
        <w:rPr>
          <w:lang w:val="en-US"/>
        </w:rPr>
      </w:r>
    </w:p>
    <w:p>
      <w:pPr>
        <w:pStyle w:val="Normal"/>
        <w:spacing w:lineRule="auto" w:line="276"/>
        <w:jc w:val="both"/>
        <w:rPr>
          <w:i/>
          <w:color w:val="4472C4"/>
          <w:lang w:val="en-US"/>
        </w:rPr>
      </w:pPr>
      <w:r>
        <w:rPr>
          <w:i/>
          <w:color w:val="4472C4"/>
          <w:lang w:val="en-US"/>
        </w:rPr>
        <w:t>List of variables</w:t>
      </w:r>
    </w:p>
    <w:p>
      <w:pPr>
        <w:pStyle w:val="Normal"/>
        <w:spacing w:lineRule="auto" w:line="276"/>
        <w:jc w:val="both"/>
        <w:rPr/>
      </w:pPr>
      <w:r>
        <w:rPr/>
        <w:t>Process Mass Intensity (PMI)</w:t>
      </w:r>
    </w:p>
    <w:p>
      <w:pPr>
        <w:pStyle w:val="Normal"/>
        <w:spacing w:lineRule="auto" w:line="276"/>
        <w:jc w:val="both"/>
        <w:rPr/>
      </w:pPr>
      <w:r>
        <w:rPr/>
        <w:t>Atom Economy (AE)</w:t>
      </w:r>
    </w:p>
    <w:p>
      <w:pPr>
        <w:pStyle w:val="Normal"/>
        <w:spacing w:lineRule="auto" w:line="276"/>
        <w:jc w:val="both"/>
        <w:rPr/>
      </w:pPr>
      <w:r>
        <w:rPr/>
        <w:t>Minimal protection-Liquid Phase Peptide Synthesis (MP-LPPS)</w:t>
      </w:r>
    </w:p>
    <w:p>
      <w:pPr>
        <w:pStyle w:val="Normal"/>
        <w:spacing w:lineRule="auto" w:line="276"/>
        <w:jc w:val="both"/>
        <w:rPr/>
      </w:pPr>
      <w:r>
        <w:rPr/>
        <w:t>Acetonitrile (ACN)</w:t>
      </w:r>
    </w:p>
    <w:p>
      <w:pPr>
        <w:pStyle w:val="Normal"/>
        <w:spacing w:lineRule="auto" w:line="276"/>
        <w:jc w:val="both"/>
        <w:rPr/>
      </w:pPr>
      <w:r>
        <w:rPr/>
        <w:t>Water (D2O)</w:t>
      </w:r>
    </w:p>
    <w:p>
      <w:pPr>
        <w:pStyle w:val="Normal"/>
        <w:spacing w:lineRule="auto" w:line="276"/>
        <w:jc w:val="both"/>
        <w:rPr/>
      </w:pPr>
      <w:r>
        <w:rPr/>
        <w:t>Dimethylsulfoxide (DMSO)</w:t>
      </w:r>
    </w:p>
    <w:p>
      <w:pPr>
        <w:pStyle w:val="Normal"/>
        <w:spacing w:lineRule="auto" w:line="276"/>
        <w:jc w:val="both"/>
        <w:rPr/>
      </w:pPr>
      <w:r>
        <w:rPr/>
        <w:t>Tetrahydrofuran (THF)</w:t>
      </w:r>
    </w:p>
    <w:p>
      <w:pPr>
        <w:pStyle w:val="Normal"/>
        <w:spacing w:lineRule="auto" w:line="276"/>
        <w:jc w:val="both"/>
        <w:rPr>
          <w:i/>
          <w:color w:val="4472C4"/>
          <w:lang w:val="en-US"/>
        </w:rPr>
      </w:pPr>
      <w:r>
        <w:rPr/>
        <w:t>2-methyltetrahydrofuran (2-MeTHF)</w:t>
      </w:r>
    </w:p>
    <w:p>
      <w:pPr>
        <w:pStyle w:val="Normal"/>
        <w:spacing w:lineRule="auto" w:line="276"/>
        <w:jc w:val="both"/>
        <w:rPr/>
      </w:pPr>
      <w:r>
        <w:rPr>
          <w:i/>
          <w:iCs/>
        </w:rPr>
        <w:t>N</w:t>
      </w:r>
      <w:r>
        <w:rPr/>
        <w:t>-(3-dimethylaminopropyl)-N′-tert-butylcarbodiimide (TBDC)</w:t>
      </w:r>
    </w:p>
    <w:p>
      <w:pPr>
        <w:pStyle w:val="Normal"/>
        <w:spacing w:lineRule="auto" w:line="276"/>
        <w:jc w:val="both"/>
        <w:rPr/>
      </w:pPr>
      <w:r>
        <w:rPr>
          <w:i/>
          <w:iCs/>
        </w:rPr>
        <w:t>N</w:t>
      </w:r>
      <w:r>
        <w:rPr/>
        <w:t>-(3-dimetilaminopropil)-</w:t>
      </w:r>
      <w:r>
        <w:rPr>
          <w:i/>
          <w:iCs/>
        </w:rPr>
        <w:t>N′</w:t>
      </w:r>
      <w:r>
        <w:rPr/>
        <w:t>-ethyl-carbodiimide hydrochloride (EDC</w:t>
      </w:r>
      <w:r>
        <w:rPr>
          <w:vertAlign w:val="superscript"/>
        </w:rPr>
        <w:t>.</w:t>
      </w:r>
      <w:r>
        <w:rPr/>
        <w:t>HCl)</w:t>
      </w:r>
    </w:p>
    <w:p>
      <w:pPr>
        <w:pStyle w:val="Normal"/>
        <w:spacing w:lineRule="auto" w:line="276"/>
        <w:jc w:val="both"/>
        <w:rPr>
          <w:i/>
          <w:color w:val="4472C4"/>
          <w:lang w:val="en-US"/>
        </w:rPr>
      </w:pPr>
      <w:r>
        <w:rPr>
          <w:i/>
          <w:color w:val="4472C4"/>
          <w:lang w:val="en-US"/>
        </w:rPr>
      </w:r>
    </w:p>
    <w:p>
      <w:pPr>
        <w:pStyle w:val="Heading2"/>
        <w:spacing w:before="0" w:after="158"/>
        <w:ind w:hanging="10" w:start="-5"/>
        <w:jc w:val="both"/>
        <w:rPr/>
      </w:pPr>
      <w:r>
        <w:rPr/>
      </w:r>
    </w:p>
    <w:sectPr>
      <w:type w:val="nextPage"/>
      <w:pgSz w:w="11906" w:h="16838"/>
      <w:pgMar w:left="1133" w:right="1161" w:gutter="0" w:header="0" w:top="1460" w:footer="0" w:bottom="1376"/>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Aptos">
    <w:charset w:val="01" w:characterSet="utf-8"/>
    <w:family w:val="roman"/>
    <w:pitch w:val="variable"/>
  </w:font>
  <w:font w:name="Calibri">
    <w:charset w:val="01" w:characterSet="utf-8"/>
    <w:family w:val="swiss"/>
    <w:pitch w:val="variable"/>
  </w:font>
  <w:font w:name="Times">
    <w:altName w:val="Times New Roman"/>
    <w:charset w:val="01" w:characterSet="utf-8"/>
    <w:family w:val="roman"/>
    <w:pitch w:val="variable"/>
  </w:font>
  <w:font w:name="Liberation Sans">
    <w:altName w:val="Arial"/>
    <w:charset w:val="01" w:characterSet="utf-8"/>
    <w:family w:val="swiss"/>
    <w:pitch w:val="variable"/>
  </w:font>
  <w:font w:name="Aptos">
    <w:charset w:val="01" w:characterSet="utf-8"/>
    <w:family w:val="swiss"/>
    <w:pitch w:val="variable"/>
  </w:font>
  <w:font w:name="Times New Roman">
    <w:charset w:val="01" w:characterSet="utf-8"/>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bullet"/>
      <w:lvlText w:val=""/>
      <w:lvlJc w:val="start"/>
      <w:pPr>
        <w:tabs>
          <w:tab w:val="num" w:pos="0"/>
        </w:tabs>
        <w:ind w:start="705" w:hanging="360"/>
      </w:pPr>
      <w:rPr>
        <w:rFonts w:ascii="Symbol" w:hAnsi="Symbol" w:cs="Symbol" w:hint="default"/>
        <w:color w:val="auto"/>
      </w:rPr>
    </w:lvl>
    <w:lvl w:ilvl="1">
      <w:start w:val="1"/>
      <w:numFmt w:val="bullet"/>
      <w:lvlText w:val="o"/>
      <w:lvlJc w:val="start"/>
      <w:pPr>
        <w:tabs>
          <w:tab w:val="num" w:pos="0"/>
        </w:tabs>
        <w:ind w:start="1425" w:hanging="360"/>
      </w:pPr>
      <w:rPr>
        <w:rFonts w:ascii="Courier New" w:hAnsi="Courier New" w:cs="Courier New" w:hint="default"/>
      </w:rPr>
    </w:lvl>
    <w:lvl w:ilvl="2">
      <w:start w:val="1"/>
      <w:numFmt w:val="bullet"/>
      <w:lvlText w:val=""/>
      <w:lvlJc w:val="start"/>
      <w:pPr>
        <w:tabs>
          <w:tab w:val="num" w:pos="0"/>
        </w:tabs>
        <w:ind w:start="2145" w:hanging="360"/>
      </w:pPr>
      <w:rPr>
        <w:rFonts w:ascii="Wingdings" w:hAnsi="Wingdings" w:cs="Wingdings" w:hint="default"/>
      </w:rPr>
    </w:lvl>
    <w:lvl w:ilvl="3">
      <w:start w:val="1"/>
      <w:numFmt w:val="bullet"/>
      <w:lvlText w:val=""/>
      <w:lvlJc w:val="start"/>
      <w:pPr>
        <w:tabs>
          <w:tab w:val="num" w:pos="0"/>
        </w:tabs>
        <w:ind w:start="2865" w:hanging="360"/>
      </w:pPr>
      <w:rPr>
        <w:rFonts w:ascii="Symbol" w:hAnsi="Symbol" w:cs="Symbol" w:hint="default"/>
      </w:rPr>
    </w:lvl>
    <w:lvl w:ilvl="4">
      <w:start w:val="1"/>
      <w:numFmt w:val="bullet"/>
      <w:lvlText w:val="o"/>
      <w:lvlJc w:val="start"/>
      <w:pPr>
        <w:tabs>
          <w:tab w:val="num" w:pos="0"/>
        </w:tabs>
        <w:ind w:start="3585" w:hanging="360"/>
      </w:pPr>
      <w:rPr>
        <w:rFonts w:ascii="Courier New" w:hAnsi="Courier New" w:cs="Courier New" w:hint="default"/>
      </w:rPr>
    </w:lvl>
    <w:lvl w:ilvl="5">
      <w:start w:val="1"/>
      <w:numFmt w:val="bullet"/>
      <w:lvlText w:val=""/>
      <w:lvlJc w:val="start"/>
      <w:pPr>
        <w:tabs>
          <w:tab w:val="num" w:pos="0"/>
        </w:tabs>
        <w:ind w:start="4305" w:hanging="360"/>
      </w:pPr>
      <w:rPr>
        <w:rFonts w:ascii="Wingdings" w:hAnsi="Wingdings" w:cs="Wingdings" w:hint="default"/>
      </w:rPr>
    </w:lvl>
    <w:lvl w:ilvl="6">
      <w:start w:val="1"/>
      <w:numFmt w:val="bullet"/>
      <w:lvlText w:val=""/>
      <w:lvlJc w:val="start"/>
      <w:pPr>
        <w:tabs>
          <w:tab w:val="num" w:pos="0"/>
        </w:tabs>
        <w:ind w:start="5025" w:hanging="360"/>
      </w:pPr>
      <w:rPr>
        <w:rFonts w:ascii="Symbol" w:hAnsi="Symbol" w:cs="Symbol" w:hint="default"/>
      </w:rPr>
    </w:lvl>
    <w:lvl w:ilvl="7">
      <w:start w:val="1"/>
      <w:numFmt w:val="bullet"/>
      <w:lvlText w:val="o"/>
      <w:lvlJc w:val="start"/>
      <w:pPr>
        <w:tabs>
          <w:tab w:val="num" w:pos="0"/>
        </w:tabs>
        <w:ind w:start="5745" w:hanging="360"/>
      </w:pPr>
      <w:rPr>
        <w:rFonts w:ascii="Courier New" w:hAnsi="Courier New" w:cs="Courier New" w:hint="default"/>
      </w:rPr>
    </w:lvl>
    <w:lvl w:ilvl="8">
      <w:start w:val="1"/>
      <w:numFmt w:val="bullet"/>
      <w:lvlText w:val=""/>
      <w:lvlJc w:val="start"/>
      <w:pPr>
        <w:tabs>
          <w:tab w:val="num" w:pos="0"/>
        </w:tabs>
        <w:ind w:start="6465" w:hanging="360"/>
      </w:pPr>
      <w:rPr>
        <w:rFonts w:ascii="Wingdings" w:hAnsi="Wingdings" w:cs="Wingdings" w:hint="default"/>
      </w:rPr>
    </w:lvl>
  </w:abstractNum>
  <w:num w:numId="1">
    <w:abstractNumId w:val="1"/>
  </w:num>
  <w:num w:numId="2">
    <w:abstractNumId w:val="2"/>
  </w:num>
</w:numbering>
</file>

<file path=word/settings.xml><?xml version="1.0" encoding="utf-8"?>
<w:settings xmlns:w="http://schemas.openxmlformats.org/wordprocessingml/2006/main">
  <w:zoom w:percent="116"/>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it-IT"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Arial" w:asciiTheme="minorHAnsi" w:cstheme="minorBidi" w:eastAsiaTheme="minorEastAsia" w:hAnsiTheme="minorHAnsi"/>
        <w:kern w:val="2"/>
        <w:sz w:val="24"/>
        <w:szCs w:val="24"/>
        <w:lang w:val="it-IT" w:eastAsia="it-IT"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66" w:before="0" w:after="5"/>
      <w:ind w:hanging="10" w:start="10"/>
      <w:jc w:val="start"/>
    </w:pPr>
    <w:rPr>
      <w:rFonts w:ascii="Calibri" w:hAnsi="Calibri" w:eastAsia="Calibri" w:cs="Calibri"/>
      <w:color w:val="000000"/>
      <w:kern w:val="2"/>
      <w:sz w:val="22"/>
      <w:szCs w:val="24"/>
      <w:lang w:val="it-IT" w:eastAsia="it-IT" w:bidi="ar-SA"/>
    </w:rPr>
  </w:style>
  <w:style w:type="paragraph" w:styleId="Heading1">
    <w:name w:val="heading 1"/>
    <w:next w:val="Normal"/>
    <w:link w:val="Titolo1Carattere"/>
    <w:uiPriority w:val="9"/>
    <w:qFormat/>
    <w:pPr>
      <w:keepNext w:val="true"/>
      <w:keepLines/>
      <w:widowControl/>
      <w:bidi w:val="0"/>
      <w:spacing w:lineRule="auto" w:line="259" w:before="0" w:after="0"/>
      <w:ind w:hanging="10" w:start="38"/>
      <w:jc w:val="center"/>
      <w:outlineLvl w:val="0"/>
    </w:pPr>
    <w:rPr>
      <w:rFonts w:ascii="Calibri" w:hAnsi="Calibri" w:eastAsia="Calibri" w:cs="Calibri"/>
      <w:b/>
      <w:color w:val="4472C4"/>
      <w:kern w:val="2"/>
      <w:sz w:val="22"/>
      <w:szCs w:val="24"/>
      <w:lang w:val="it-IT" w:eastAsia="it-IT" w:bidi="ar-SA"/>
    </w:rPr>
  </w:style>
  <w:style w:type="paragraph" w:styleId="Heading2">
    <w:name w:val="heading 2"/>
    <w:next w:val="Normal"/>
    <w:link w:val="Titolo2Carattere"/>
    <w:uiPriority w:val="9"/>
    <w:unhideWhenUsed/>
    <w:qFormat/>
    <w:pPr>
      <w:keepNext w:val="true"/>
      <w:keepLines/>
      <w:widowControl/>
      <w:bidi w:val="0"/>
      <w:spacing w:lineRule="auto" w:line="259" w:before="0" w:after="0"/>
      <w:ind w:hanging="10" w:start="10"/>
      <w:jc w:val="start"/>
      <w:outlineLvl w:val="1"/>
    </w:pPr>
    <w:rPr>
      <w:rFonts w:ascii="Calibri" w:hAnsi="Calibri" w:eastAsia="Calibri" w:cs="Calibri"/>
      <w:i/>
      <w:color w:val="4472C4"/>
      <w:kern w:val="2"/>
      <w:sz w:val="22"/>
      <w:szCs w:val="24"/>
      <w:lang w:val="it-IT" w:eastAsia="it-IT" w:bidi="ar-SA"/>
    </w:rPr>
  </w:style>
  <w:style w:type="character" w:styleId="DefaultParagraphFont" w:default="1">
    <w:name w:val="Default Paragraph Font"/>
    <w:uiPriority w:val="1"/>
    <w:semiHidden/>
    <w:unhideWhenUsed/>
    <w:qFormat/>
    <w:rPr/>
  </w:style>
  <w:style w:type="character" w:styleId="Titolo1Carattere" w:customStyle="1">
    <w:name w:val="Titolo 1 Carattere"/>
    <w:link w:val="Heading1"/>
    <w:qFormat/>
    <w:rPr>
      <w:rFonts w:ascii="Calibri" w:hAnsi="Calibri" w:eastAsia="Calibri" w:cs="Calibri"/>
      <w:b/>
      <w:color w:val="4472C4"/>
      <w:sz w:val="22"/>
    </w:rPr>
  </w:style>
  <w:style w:type="character" w:styleId="Titolo2Carattere" w:customStyle="1">
    <w:name w:val="Titolo 2 Carattere"/>
    <w:link w:val="Heading2"/>
    <w:qFormat/>
    <w:rPr>
      <w:rFonts w:ascii="Calibri" w:hAnsi="Calibri" w:eastAsia="Calibri" w:cs="Calibri"/>
      <w:i/>
      <w:color w:val="4472C4"/>
      <w:sz w:val="22"/>
    </w:rPr>
  </w:style>
  <w:style w:type="character" w:styleId="CommentReference" w:customStyle="1">
    <w:name w:val="Comment Reference"/>
    <w:basedOn w:val="DefaultParagraphFont"/>
    <w:uiPriority w:val="99"/>
    <w:semiHidden/>
    <w:unhideWhenUsed/>
    <w:qFormat/>
    <w:rsid w:val="00f43790"/>
    <w:rPr>
      <w:sz w:val="16"/>
      <w:szCs w:val="16"/>
    </w:rPr>
  </w:style>
  <w:style w:type="character" w:styleId="CommentTextChar" w:customStyle="1">
    <w:name w:val="Comment Text Char"/>
    <w:basedOn w:val="DefaultParagraphFont"/>
    <w:link w:val="CommentText"/>
    <w:uiPriority w:val="99"/>
    <w:qFormat/>
    <w:rsid w:val="00f43790"/>
    <w:rPr>
      <w:rFonts w:ascii="Calibri" w:hAnsi="Calibri" w:eastAsia="Calibri" w:cs="Calibri"/>
      <w:color w:val="000000"/>
      <w:sz w:val="20"/>
      <w:szCs w:val="20"/>
    </w:rPr>
  </w:style>
  <w:style w:type="character" w:styleId="CommentSubjectChar" w:customStyle="1">
    <w:name w:val="Comment Subject Char"/>
    <w:basedOn w:val="CommentTextChar"/>
    <w:link w:val="CommentSubject"/>
    <w:uiPriority w:val="99"/>
    <w:semiHidden/>
    <w:qFormat/>
    <w:rsid w:val="00f43790"/>
    <w:rPr>
      <w:rFonts w:ascii="Calibri" w:hAnsi="Calibri" w:eastAsia="Calibri" w:cs="Calibri"/>
      <w:b/>
      <w:bCs/>
      <w:color w:val="000000"/>
      <w:sz w:val="20"/>
      <w:szCs w:val="20"/>
    </w:rPr>
  </w:style>
  <w:style w:type="character" w:styleId="Hyperlink">
    <w:name w:val="Hyperlink"/>
    <w:basedOn w:val="DefaultParagraphFont"/>
    <w:uiPriority w:val="99"/>
    <w:unhideWhenUsed/>
    <w:rsid w:val="00ea5c81"/>
    <w:rPr>
      <w:color w:themeColor="hyperlink" w:val="467886"/>
      <w:u w:val="single"/>
    </w:rPr>
  </w:style>
  <w:style w:type="character" w:styleId="UnresolvedMention">
    <w:name w:val="Unresolved Mention"/>
    <w:basedOn w:val="DefaultParagraphFont"/>
    <w:uiPriority w:val="99"/>
    <w:semiHidden/>
    <w:unhideWhenUsed/>
    <w:qFormat/>
    <w:rsid w:val="00ea5c81"/>
    <w:rPr>
      <w:color w:val="605E5C"/>
      <w:shd w:fill="E1DFDD" w:val="clear"/>
    </w:rPr>
  </w:style>
  <w:style w:type="character" w:styleId="TestonotadichiusuraCarattere" w:customStyle="1">
    <w:name w:val="Testo nota di chiusura Carattere"/>
    <w:basedOn w:val="DefaultParagraphFont"/>
    <w:link w:val="EndnoteText"/>
    <w:semiHidden/>
    <w:qFormat/>
    <w:rsid w:val="00f16ef0"/>
    <w:rPr>
      <w:rFonts w:ascii="Times" w:hAnsi="Times" w:eastAsia="Times New Roman" w:cs="Times New Roman"/>
      <w:kern w:val="0"/>
      <w:sz w:val="20"/>
      <w:szCs w:val="20"/>
      <w:lang w:val="en-US" w:eastAsia="en-US"/>
      <w14:ligatures w14:val="none"/>
    </w:rPr>
  </w:style>
  <w:style w:type="character" w:styleId="EndnoteCharacters">
    <w:name w:val="Endnote Characters"/>
    <w:semiHidden/>
    <w:unhideWhenUsed/>
    <w:qFormat/>
    <w:rsid w:val="00f16ef0"/>
    <w:rPr>
      <w:vertAlign w:val="superscript"/>
    </w:rPr>
  </w:style>
  <w:style w:type="character" w:styleId="EndnoteReference">
    <w:name w:val="endnote reference"/>
    <w:rPr>
      <w:vertAlign w:val="superscript"/>
    </w:rPr>
  </w:style>
  <w:style w:type="character" w:styleId="TestonotaapidipaginaCarattere" w:customStyle="1">
    <w:name w:val="Testo nota a piè di pagina Carattere"/>
    <w:basedOn w:val="DefaultParagraphFont"/>
    <w:link w:val="FootnoteText"/>
    <w:uiPriority w:val="99"/>
    <w:semiHidden/>
    <w:qFormat/>
    <w:rsid w:val="00980f6e"/>
    <w:rPr>
      <w:rFonts w:cs="Arial"/>
      <w:kern w:val="0"/>
      <w:sz w:val="20"/>
      <w:szCs w:val="20"/>
      <w:lang w:val="en-US" w:eastAsia="en-US"/>
      <w14:ligatures w14:val="none"/>
    </w:rPr>
  </w:style>
  <w:style w:type="character" w:styleId="FootnoteCharacters">
    <w:name w:val="Footnote Characters"/>
    <w:basedOn w:val="DefaultParagraphFont"/>
    <w:uiPriority w:val="99"/>
    <w:semiHidden/>
    <w:unhideWhenUsed/>
    <w:qFormat/>
    <w:rsid w:val="00980f6e"/>
    <w:rPr>
      <w:rFonts w:cs="Times New Roman"/>
      <w:vertAlign w:val="superscript"/>
    </w:rPr>
  </w:style>
  <w:style w:type="character" w:styleId="FootnoteReference">
    <w:name w:val="footnote reference"/>
    <w:rPr>
      <w:rFonts w:cs="Times New Roman"/>
      <w:vertAlign w:val="superscript"/>
    </w:rPr>
  </w:style>
  <w:style w:type="character" w:styleId="TestocommentoCarattere" w:customStyle="1">
    <w:name w:val="Testo commento Carattere"/>
    <w:basedOn w:val="DefaultParagraphFont"/>
    <w:link w:val="CommentText1"/>
    <w:uiPriority w:val="99"/>
    <w:qFormat/>
    <w:rPr>
      <w:rFonts w:ascii="Calibri" w:hAnsi="Calibri" w:eastAsia="Calibri" w:cs="Calibri"/>
      <w:color w:val="000000"/>
      <w:sz w:val="20"/>
      <w:szCs w:val="20"/>
    </w:rPr>
  </w:style>
  <w:style w:type="character" w:styleId="CommentReference1">
    <w:name w:val="annotation reference"/>
    <w:basedOn w:val="DefaultParagraphFont"/>
    <w:uiPriority w:val="99"/>
    <w:semiHidden/>
    <w:unhideWhenUsed/>
    <w:qFormat/>
    <w:rPr>
      <w:sz w:val="16"/>
      <w:szCs w:val="16"/>
    </w:rPr>
  </w:style>
  <w:style w:type="character" w:styleId="SoggettocommentoCarattere" w:customStyle="1">
    <w:name w:val="Soggetto commento Carattere"/>
    <w:basedOn w:val="TestocommentoCarattere"/>
    <w:link w:val="annotationsubject"/>
    <w:uiPriority w:val="99"/>
    <w:semiHidden/>
    <w:qFormat/>
    <w:rsid w:val="0042122a"/>
    <w:rPr>
      <w:rFonts w:ascii="Calibri" w:hAnsi="Calibri" w:eastAsia="Calibri" w:cs="Calibri"/>
      <w:b/>
      <w:bCs/>
      <w:color w:val="000000"/>
      <w:sz w:val="20"/>
      <w:szCs w:val="20"/>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ListParagraph">
    <w:name w:val="List Paragraph"/>
    <w:basedOn w:val="Normal"/>
    <w:uiPriority w:val="34"/>
    <w:qFormat/>
    <w:rsid w:val="005e4908"/>
    <w:pPr>
      <w:spacing w:before="0" w:after="5"/>
      <w:ind w:start="720"/>
      <w:contextualSpacing/>
    </w:pPr>
    <w:rPr/>
  </w:style>
  <w:style w:type="paragraph" w:styleId="Revision">
    <w:name w:val="Revision"/>
    <w:uiPriority w:val="99"/>
    <w:semiHidden/>
    <w:qFormat/>
    <w:rsid w:val="005e4908"/>
    <w:pPr>
      <w:widowControl/>
      <w:bidi w:val="0"/>
      <w:spacing w:lineRule="auto" w:line="240" w:before="0" w:after="0"/>
      <w:jc w:val="start"/>
    </w:pPr>
    <w:rPr>
      <w:rFonts w:ascii="Calibri" w:hAnsi="Calibri" w:eastAsia="Calibri" w:cs="Calibri"/>
      <w:color w:val="000000"/>
      <w:kern w:val="2"/>
      <w:sz w:val="22"/>
      <w:szCs w:val="24"/>
      <w:lang w:val="it-IT" w:eastAsia="it-IT" w:bidi="ar-SA"/>
    </w:rPr>
  </w:style>
  <w:style w:type="paragraph" w:styleId="CommentText" w:customStyle="1">
    <w:name w:val="Comment Text"/>
    <w:basedOn w:val="Normal"/>
    <w:link w:val="CommentTextChar"/>
    <w:uiPriority w:val="99"/>
    <w:unhideWhenUsed/>
    <w:qFormat/>
    <w:rsid w:val="00f43790"/>
    <w:pPr>
      <w:spacing w:lineRule="auto" w:line="240"/>
    </w:pPr>
    <w:rPr>
      <w:sz w:val="20"/>
      <w:szCs w:val="20"/>
    </w:rPr>
  </w:style>
  <w:style w:type="paragraph" w:styleId="CommentSubject" w:customStyle="1">
    <w:name w:val="Comment Subject"/>
    <w:basedOn w:val="CommentText"/>
    <w:next w:val="CommentText"/>
    <w:link w:val="CommentSubjectChar"/>
    <w:uiPriority w:val="99"/>
    <w:semiHidden/>
    <w:unhideWhenUsed/>
    <w:qFormat/>
    <w:rsid w:val="00f43790"/>
    <w:pPr/>
    <w:rPr>
      <w:b/>
      <w:bCs/>
    </w:rPr>
  </w:style>
  <w:style w:type="paragraph" w:styleId="TAMainText" w:customStyle="1">
    <w:name w:val="TA_Main_Text"/>
    <w:basedOn w:val="Normal"/>
    <w:qFormat/>
    <w:rsid w:val="00040bc6"/>
    <w:pPr>
      <w:spacing w:lineRule="auto" w:line="480" w:before="0" w:after="0"/>
      <w:ind w:firstLine="202" w:start="0"/>
      <w:jc w:val="both"/>
    </w:pPr>
    <w:rPr>
      <w:rFonts w:ascii="Times" w:hAnsi="Times" w:eastAsia="Times New Roman" w:cs="Times New Roman"/>
      <w:color w:val="auto"/>
      <w:kern w:val="0"/>
      <w:sz w:val="24"/>
      <w:szCs w:val="20"/>
      <w:lang w:val="en-US" w:eastAsia="en-US"/>
      <w14:ligatures w14:val="none"/>
    </w:rPr>
  </w:style>
  <w:style w:type="paragraph" w:styleId="FACorrespondingAuthorFootnote" w:customStyle="1">
    <w:name w:val="FA_Corresponding_Author_Footnote"/>
    <w:basedOn w:val="Normal"/>
    <w:next w:val="TAMainText"/>
    <w:qFormat/>
    <w:rsid w:val="00040bc6"/>
    <w:pPr>
      <w:spacing w:lineRule="auto" w:line="480" w:before="0" w:after="200"/>
      <w:ind w:hanging="0" w:start="0"/>
      <w:jc w:val="both"/>
    </w:pPr>
    <w:rPr>
      <w:rFonts w:ascii="Times" w:hAnsi="Times" w:eastAsia="Times New Roman" w:cs="Times New Roman"/>
      <w:color w:val="auto"/>
      <w:kern w:val="0"/>
      <w:sz w:val="24"/>
      <w:szCs w:val="20"/>
      <w:lang w:val="en-US" w:eastAsia="en-US"/>
      <w14:ligatures w14:val="none"/>
    </w:rPr>
  </w:style>
  <w:style w:type="paragraph" w:styleId="EndnoteText">
    <w:name w:val="endnote text"/>
    <w:basedOn w:val="Normal"/>
    <w:link w:val="TestonotadichiusuraCarattere"/>
    <w:semiHidden/>
    <w:unhideWhenUsed/>
    <w:rsid w:val="00f16ef0"/>
    <w:pPr>
      <w:spacing w:lineRule="auto" w:line="240" w:before="0" w:after="0"/>
      <w:ind w:hanging="0" w:start="0"/>
      <w:jc w:val="both"/>
    </w:pPr>
    <w:rPr>
      <w:rFonts w:ascii="Times" w:hAnsi="Times" w:eastAsia="Times New Roman" w:cs="Times New Roman"/>
      <w:color w:val="auto"/>
      <w:kern w:val="0"/>
      <w:sz w:val="20"/>
      <w:szCs w:val="20"/>
      <w:lang w:val="en-US" w:eastAsia="en-US"/>
      <w14:ligatures w14:val="none"/>
    </w:rPr>
  </w:style>
  <w:style w:type="paragraph" w:styleId="FootnoteText">
    <w:name w:val="footnote text"/>
    <w:basedOn w:val="Normal"/>
    <w:link w:val="TestonotaapidipaginaCarattere"/>
    <w:uiPriority w:val="99"/>
    <w:semiHidden/>
    <w:unhideWhenUsed/>
    <w:rsid w:val="00980f6e"/>
    <w:pPr>
      <w:spacing w:lineRule="auto" w:line="240" w:before="0" w:after="0"/>
      <w:ind w:hanging="0" w:start="0"/>
    </w:pPr>
    <w:rPr>
      <w:rFonts w:ascii="Aptos" w:hAnsi="Aptos" w:eastAsia="" w:cs="Arial" w:asciiTheme="minorHAnsi" w:eastAsiaTheme="minorEastAsia" w:hAnsiTheme="minorHAnsi"/>
      <w:color w:val="auto"/>
      <w:kern w:val="0"/>
      <w:sz w:val="20"/>
      <w:szCs w:val="20"/>
      <w:lang w:val="en-US" w:eastAsia="en-US"/>
      <w14:ligatures w14:val="none"/>
    </w:rPr>
  </w:style>
  <w:style w:type="paragraph" w:styleId="CommentText1">
    <w:name w:val="annotation text"/>
    <w:basedOn w:val="Normal"/>
    <w:link w:val="TestocommentoCarattere"/>
    <w:uiPriority w:val="99"/>
    <w:unhideWhenUsed/>
    <w:pPr>
      <w:spacing w:lineRule="auto" w:line="240"/>
    </w:pPr>
    <w:rPr>
      <w:sz w:val="20"/>
      <w:szCs w:val="20"/>
    </w:rPr>
  </w:style>
  <w:style w:type="paragraph" w:styleId="NormalWeb">
    <w:name w:val="Normal (Web)"/>
    <w:basedOn w:val="Normal"/>
    <w:uiPriority w:val="99"/>
    <w:semiHidden/>
    <w:unhideWhenUsed/>
    <w:qFormat/>
    <w:rsid w:val="00b26bc9"/>
    <w:pPr/>
    <w:rPr>
      <w:rFonts w:ascii="Times New Roman" w:hAnsi="Times New Roman" w:cs="Times New Roman"/>
      <w:sz w:val="24"/>
    </w:rPr>
  </w:style>
  <w:style w:type="paragraph" w:styleId="annotationsubject">
    <w:name w:val="annotation subject"/>
    <w:basedOn w:val="CommentText1"/>
    <w:next w:val="CommentText1"/>
    <w:link w:val="SoggettocommentoCarattere"/>
    <w:uiPriority w:val="99"/>
    <w:semiHidden/>
    <w:unhideWhenUsed/>
    <w:qFormat/>
    <w:rsid w:val="0042122a"/>
    <w:pPr/>
    <w:rPr>
      <w:b/>
      <w:bCs/>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orcid.org/0000-0002-7083-2211" TargetMode="External"/><Relationship Id="rId3" Type="http://schemas.openxmlformats.org/officeDocument/2006/relationships/hyperlink" Target="https://orcid.org/0000-0002-5818-1786" TargetMode="External"/><Relationship Id="rId4" Type="http://schemas.openxmlformats.org/officeDocument/2006/relationships/hyperlink" Target="https://orcid.org/0009-0008-3251-5523" TargetMode="External"/><Relationship Id="rId5" Type="http://schemas.openxmlformats.org/officeDocument/2006/relationships/hyperlink" Target="https://orcid.org/0000-0001-7865-0474" TargetMode="External"/><Relationship Id="rId6" Type="http://schemas.openxmlformats.org/officeDocument/2006/relationships/hyperlink" Target="https://orcid.org/0000-0003-4202-1136" TargetMode="External"/><Relationship Id="rId7" Type="http://schemas.openxmlformats.org/officeDocument/2006/relationships/hyperlink" Target="mailto:lucia.ferrazzano4@unibo.it" TargetMode="External"/><Relationship Id="rId8" Type="http://schemas.openxmlformats.org/officeDocument/2006/relationships/hyperlink" Target="https://creativecommons.org/licenses/by/4.0/" TargetMode="External"/><Relationship Id="rId9" Type="http://schemas.openxmlformats.org/officeDocument/2006/relationships/hyperlink" Target="https://doi.org/10.1021/acssuschemeng.6c04338" TargetMode="Externa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54F62-81BA-427F-935F-FF85D2CB0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Application>LibreOffice/26.2.2.2$Linux_X86_64 LibreOffice_project/620$Build-2</Application>
  <AppVersion>15.0000</AppVersion>
  <Pages>4</Pages>
  <Words>797</Words>
  <Characters>6652</Characters>
  <CharactersWithSpaces>7381</CharactersWithSpaces>
  <Paragraphs>90</Paragraphs>
  <Company>Alma Mater Studiorum Università di Bologna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2026-05-11T16:08:00Z</dcterms:created>
  <dc:creator>Lucia Ferrazzano</dc:creator>
  <dc:description/>
  <dc:language>en-US</dc:language>
  <cp:lastModifiedBy/>
  <cp:lastPrinted>2025-02-10T15:08:00Z</cp:lastPrinted>
  <dcterms:modified xsi:type="dcterms:W3CDTF">2026-06-04T15:27:24Z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file>