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6BA17" w14:textId="77777777" w:rsidR="00760837" w:rsidRDefault="00000000">
      <w:pPr>
        <w:jc w:val="center"/>
        <w:rPr>
          <w:b/>
          <w:bCs/>
          <w:color w:val="215E99" w:themeColor="text2" w:themeTint="BF"/>
          <w:u w:val="single"/>
          <w:lang w:val="en-US"/>
        </w:rPr>
      </w:pPr>
      <w:r>
        <w:rPr>
          <w:b/>
          <w:bCs/>
          <w:color w:val="215E99" w:themeColor="text2" w:themeTint="BF"/>
          <w:u w:val="single"/>
          <w:lang w:val="en-US"/>
        </w:rPr>
        <w:t>README file</w:t>
      </w:r>
    </w:p>
    <w:p w14:paraId="5A2DE90F" w14:textId="77777777" w:rsidR="00760837" w:rsidRDefault="00760837">
      <w:pPr>
        <w:rPr>
          <w:lang w:val="en-US"/>
        </w:rPr>
      </w:pPr>
    </w:p>
    <w:p w14:paraId="2E52C316" w14:textId="77777777" w:rsidR="00760837" w:rsidRDefault="00000000">
      <w:pPr>
        <w:rPr>
          <w:lang w:val="en-US"/>
        </w:rPr>
      </w:pPr>
      <w:r>
        <w:rPr>
          <w:lang w:val="en-US"/>
        </w:rPr>
        <w:t xml:space="preserve">Dataset Title: </w:t>
      </w:r>
      <w:r>
        <w:rPr>
          <w:b/>
          <w:bCs/>
          <w:lang w:val="en-US"/>
        </w:rPr>
        <w:t xml:space="preserve">Dataset of </w:t>
      </w:r>
      <w:r>
        <w:rPr>
          <w:b/>
          <w:bCs/>
          <w:i/>
          <w:iCs/>
          <w:lang w:val="en-US"/>
        </w:rPr>
        <w:t>From Fundamental Self-Assembly Studies to Applications in Everyday Life: the Formation of a Supramolecular Shampoo</w:t>
      </w:r>
      <w:r>
        <w:rPr>
          <w:b/>
          <w:bCs/>
          <w:lang w:val="en-US"/>
        </w:rPr>
        <w:t xml:space="preserve"> </w:t>
      </w:r>
    </w:p>
    <w:p w14:paraId="3812E647" w14:textId="77777777" w:rsidR="00760837" w:rsidRDefault="00000000">
      <w:pPr>
        <w:rPr>
          <w:b/>
          <w:bCs/>
          <w:i/>
          <w:iCs/>
          <w:vertAlign w:val="superscript"/>
        </w:rPr>
      </w:pPr>
      <w:r>
        <w:t>Dataset Authors: Sofia Chinelli, Demetra Giuri, Claudia Tomasini</w:t>
      </w:r>
    </w:p>
    <w:p w14:paraId="48190FFA" w14:textId="77777777" w:rsidR="00760837" w:rsidRDefault="00000000">
      <w:r>
        <w:t>Dataset Contributors: Roberta Stile (data collector)</w:t>
      </w:r>
    </w:p>
    <w:p w14:paraId="0486D007" w14:textId="77777777" w:rsidR="00760837" w:rsidRDefault="00000000">
      <w:r>
        <w:t>Affiliations: a. Department of Chemistry “Giacomo Ciamician”, University of Bologna, via Gobetti, 85, 40129 Bologna, Italy</w:t>
      </w:r>
    </w:p>
    <w:p w14:paraId="42E746BA" w14:textId="77777777" w:rsidR="00760837" w:rsidRDefault="00000000">
      <w:r>
        <w:t xml:space="preserve">Dataset contact person: </w:t>
      </w:r>
      <w:r>
        <w:rPr>
          <w:b/>
          <w:bCs/>
        </w:rPr>
        <w:t>Demetra Giuri</w:t>
      </w:r>
      <w:r>
        <w:t xml:space="preserve">, Department of Chemistry “Giacomo Ciamician”, University of Bologna, Via P. Gobetti 85, 40129 Bologna, Italy, demetra.giuri2@unibo.it </w:t>
      </w:r>
    </w:p>
    <w:p w14:paraId="3D913186" w14:textId="77777777" w:rsidR="00760837" w:rsidRDefault="00000000">
      <w:pPr>
        <w:rPr>
          <w:lang w:val="en-US"/>
        </w:rPr>
      </w:pPr>
      <w:r>
        <w:rPr>
          <w:lang w:val="en-US"/>
        </w:rPr>
        <w:t xml:space="preserve">Dataset License: this data set is distributed under a </w:t>
      </w:r>
      <w:r>
        <w:rPr>
          <w:b/>
          <w:bCs/>
          <w:lang w:val="en-US"/>
        </w:rPr>
        <w:t xml:space="preserve">Creative Commons Attribution 4.0 International (CC BY 4.0) </w:t>
      </w:r>
      <w:r>
        <w:rPr>
          <w:lang w:val="en-US"/>
        </w:rPr>
        <w:t xml:space="preserve">license, https://creativecommons.org/licenses/by/4.0/. </w:t>
      </w:r>
    </w:p>
    <w:p w14:paraId="0625C75C" w14:textId="77777777" w:rsidR="00760837" w:rsidRDefault="00000000">
      <w:pPr>
        <w:rPr>
          <w:b/>
          <w:bCs/>
          <w:lang w:val="en-US"/>
        </w:rPr>
      </w:pPr>
      <w:r>
        <w:rPr>
          <w:lang w:val="en-US"/>
        </w:rPr>
        <w:t xml:space="preserve">Publication year: </w:t>
      </w:r>
      <w:r>
        <w:rPr>
          <w:b/>
          <w:bCs/>
          <w:lang w:val="en-US"/>
        </w:rPr>
        <w:t xml:space="preserve">2026 </w:t>
      </w:r>
    </w:p>
    <w:p w14:paraId="725DDA8D" w14:textId="77777777" w:rsidR="00760837" w:rsidRDefault="00760837">
      <w:pPr>
        <w:rPr>
          <w:lang w:val="en-US"/>
        </w:rPr>
      </w:pPr>
    </w:p>
    <w:p w14:paraId="15965407" w14:textId="77777777" w:rsidR="00760837" w:rsidRDefault="00000000">
      <w:pPr>
        <w:jc w:val="center"/>
        <w:rPr>
          <w:color w:val="215E99" w:themeColor="text2" w:themeTint="BF"/>
          <w:u w:val="single"/>
          <w:lang w:val="en-US"/>
        </w:rPr>
      </w:pPr>
      <w:r>
        <w:rPr>
          <w:b/>
          <w:bCs/>
          <w:color w:val="215E99" w:themeColor="text2" w:themeTint="BF"/>
          <w:u w:val="single"/>
          <w:lang w:val="en-US"/>
        </w:rPr>
        <w:t>DATASET CONTENTS</w:t>
      </w:r>
    </w:p>
    <w:p w14:paraId="43224D4F" w14:textId="77777777" w:rsidR="00760837" w:rsidRDefault="00000000">
      <w:pPr>
        <w:rPr>
          <w:lang w:val="en-US"/>
        </w:rPr>
      </w:pPr>
      <w:r>
        <w:rPr>
          <w:lang w:val="en-US"/>
        </w:rPr>
        <w:t>The dataset consists of a folder named DATASET that contains:</w:t>
      </w:r>
    </w:p>
    <w:p w14:paraId="15FCB574" w14:textId="77777777" w:rsidR="00760837" w:rsidRDefault="00000000">
      <w:pPr>
        <w:pStyle w:val="ListParagraph"/>
        <w:numPr>
          <w:ilvl w:val="0"/>
          <w:numId w:val="2"/>
        </w:numPr>
        <w:rPr>
          <w:lang w:val="en-US"/>
        </w:rPr>
      </w:pPr>
      <w:r>
        <w:rPr>
          <w:lang w:val="en-US"/>
        </w:rPr>
        <w:t>A Readme file in .doc format</w:t>
      </w:r>
    </w:p>
    <w:p w14:paraId="1AC9F03F" w14:textId="77777777" w:rsidR="00760837" w:rsidRDefault="00000000">
      <w:pPr>
        <w:ind w:left="360"/>
        <w:rPr>
          <w:lang w:val="en-US"/>
        </w:rPr>
      </w:pPr>
      <w:r>
        <w:rPr>
          <w:lang w:val="en-US"/>
        </w:rPr>
        <w:t>The following subfolders:</w:t>
      </w:r>
    </w:p>
    <w:p w14:paraId="501250D7" w14:textId="77777777" w:rsidR="00760837" w:rsidRDefault="00000000">
      <w:pPr>
        <w:pStyle w:val="ListParagraph"/>
        <w:numPr>
          <w:ilvl w:val="0"/>
          <w:numId w:val="2"/>
        </w:numPr>
        <w:rPr>
          <w:lang w:val="en-US"/>
        </w:rPr>
      </w:pPr>
      <w:r>
        <w:rPr>
          <w:lang w:val="en-US"/>
        </w:rPr>
        <w:t>“AMPLITUDE_SWEEP”</w:t>
      </w:r>
    </w:p>
    <w:p w14:paraId="69B42B88" w14:textId="77777777" w:rsidR="00760837" w:rsidRDefault="00000000">
      <w:pPr>
        <w:pStyle w:val="ListParagraph"/>
        <w:numPr>
          <w:ilvl w:val="0"/>
          <w:numId w:val="2"/>
        </w:numPr>
        <w:rPr>
          <w:lang w:val="en-US"/>
        </w:rPr>
      </w:pPr>
      <w:r>
        <w:rPr>
          <w:lang w:val="en-US"/>
        </w:rPr>
        <w:t>“FREQUENCY_SWEEP”</w:t>
      </w:r>
    </w:p>
    <w:p w14:paraId="3FF70208" w14:textId="77777777" w:rsidR="00760837" w:rsidRDefault="00000000">
      <w:pPr>
        <w:pStyle w:val="ListParagraph"/>
        <w:numPr>
          <w:ilvl w:val="0"/>
          <w:numId w:val="2"/>
        </w:numPr>
        <w:rPr>
          <w:lang w:val="en-US"/>
        </w:rPr>
      </w:pPr>
      <w:r>
        <w:rPr>
          <w:lang w:val="en-US"/>
        </w:rPr>
        <w:t>“TEMPERATURE_SWEEP”</w:t>
      </w:r>
    </w:p>
    <w:p w14:paraId="0215CFE4" w14:textId="77777777" w:rsidR="00760837" w:rsidRDefault="00000000">
      <w:pPr>
        <w:pStyle w:val="ListParagraph"/>
        <w:numPr>
          <w:ilvl w:val="0"/>
          <w:numId w:val="2"/>
        </w:numPr>
        <w:rPr>
          <w:lang w:val="en-US"/>
        </w:rPr>
      </w:pPr>
      <w:r>
        <w:rPr>
          <w:lang w:val="en-US"/>
        </w:rPr>
        <w:t>“VISCOSITY”</w:t>
      </w:r>
    </w:p>
    <w:p w14:paraId="19D50F49" w14:textId="77777777" w:rsidR="00760837" w:rsidRDefault="00000000">
      <w:pPr>
        <w:pStyle w:val="ListParagraph"/>
        <w:numPr>
          <w:ilvl w:val="0"/>
          <w:numId w:val="2"/>
        </w:numPr>
        <w:rPr>
          <w:lang w:val="en-US"/>
        </w:rPr>
      </w:pPr>
      <w:r>
        <w:rPr>
          <w:lang w:val="en-US"/>
        </w:rPr>
        <w:t>“pKa”</w:t>
      </w:r>
    </w:p>
    <w:p w14:paraId="1DB81281" w14:textId="77777777" w:rsidR="00760837" w:rsidRDefault="00760837">
      <w:pPr>
        <w:jc w:val="both"/>
        <w:rPr>
          <w:lang w:val="en-US"/>
        </w:rPr>
      </w:pPr>
    </w:p>
    <w:p w14:paraId="39AAA512" w14:textId="77777777" w:rsidR="00760837" w:rsidRDefault="00000000">
      <w:pPr>
        <w:jc w:val="both"/>
        <w:rPr>
          <w:lang w:val="en-US"/>
        </w:rPr>
      </w:pPr>
      <w:r>
        <w:rPr>
          <w:lang w:val="en-US"/>
        </w:rPr>
        <w:t>The acronyms used for the analyses are:</w:t>
      </w:r>
    </w:p>
    <w:p w14:paraId="628B84F2" w14:textId="77777777" w:rsidR="00760837" w:rsidRDefault="00000000">
      <w:pPr>
        <w:jc w:val="both"/>
        <w:rPr>
          <w:lang w:val="en-US"/>
        </w:rPr>
      </w:pPr>
      <w:r>
        <w:rPr>
          <w:lang w:val="en-US"/>
        </w:rPr>
        <w:t>Amplitude Sweep (AS)</w:t>
      </w:r>
    </w:p>
    <w:p w14:paraId="1D7816DA" w14:textId="77777777" w:rsidR="00760837" w:rsidRDefault="00000000">
      <w:pPr>
        <w:jc w:val="both"/>
        <w:rPr>
          <w:lang w:val="en-US"/>
        </w:rPr>
      </w:pPr>
      <w:r>
        <w:rPr>
          <w:lang w:val="en-US"/>
        </w:rPr>
        <w:t>Frequency Sweep (FS)</w:t>
      </w:r>
    </w:p>
    <w:p w14:paraId="231161FE" w14:textId="77777777" w:rsidR="00760837" w:rsidRDefault="00000000">
      <w:pPr>
        <w:jc w:val="both"/>
        <w:rPr>
          <w:lang w:val="en-US"/>
        </w:rPr>
      </w:pPr>
      <w:r>
        <w:rPr>
          <w:lang w:val="en-US"/>
        </w:rPr>
        <w:t>Viscosity (CSR)</w:t>
      </w:r>
      <w:r>
        <w:rPr>
          <w:lang w:val="en-US"/>
        </w:rPr>
        <w:tab/>
      </w:r>
      <w:r>
        <w:rPr>
          <w:lang w:val="en-US"/>
        </w:rPr>
        <w:br/>
      </w:r>
      <w:r>
        <w:rPr>
          <w:lang w:val="en-US"/>
        </w:rPr>
        <w:br/>
        <w:t xml:space="preserve">For each test, the acronym is followed by the name of the compound analysed. </w:t>
      </w:r>
      <w:r>
        <w:rPr>
          <w:lang w:val="en-US"/>
        </w:rPr>
        <w:tab/>
      </w:r>
      <w:r>
        <w:rPr>
          <w:lang w:val="en-US"/>
        </w:rPr>
        <w:br/>
        <w:t>According to the corresponding nomenclature in the paper (Sofia Chinelli, Roberta Stile, Demetra Giuri, Claudia Tomasini,</w:t>
      </w:r>
      <w:r>
        <w:rPr>
          <w:b/>
          <w:bCs/>
          <w:i/>
          <w:iCs/>
          <w:vertAlign w:val="superscript"/>
          <w:lang w:val="en-US"/>
        </w:rPr>
        <w:t xml:space="preserve"> </w:t>
      </w:r>
      <w:r>
        <w:rPr>
          <w:b/>
          <w:bCs/>
          <w:lang w:val="en-US"/>
        </w:rPr>
        <w:t xml:space="preserve"> </w:t>
      </w:r>
      <w:r>
        <w:rPr>
          <w:i/>
          <w:iCs/>
          <w:lang w:val="en-US"/>
        </w:rPr>
        <w:t>Gels</w:t>
      </w:r>
      <w:r>
        <w:rPr>
          <w:lang w:val="en-US"/>
        </w:rPr>
        <w:t xml:space="preserve"> </w:t>
      </w:r>
      <w:r>
        <w:rPr>
          <w:b/>
          <w:bCs/>
          <w:lang w:val="en-US"/>
        </w:rPr>
        <w:t>2026</w:t>
      </w:r>
      <w:r>
        <w:rPr>
          <w:lang w:val="en-US"/>
        </w:rPr>
        <w:t xml:space="preserve">, </w:t>
      </w:r>
      <w:hyperlink r:id="rId6">
        <w:r>
          <w:rPr>
            <w:rStyle w:val="Hyperlink"/>
            <w:i/>
            <w:iCs/>
            <w:lang w:val="en-US"/>
          </w:rPr>
          <w:t>https://doi.org/10.3390/gels12070589</w:t>
        </w:r>
      </w:hyperlink>
      <w:r>
        <w:rPr>
          <w:lang w:val="en-US"/>
        </w:rPr>
        <w:t xml:space="preserve">) the </w:t>
      </w:r>
      <w:r>
        <w:rPr>
          <w:b/>
          <w:bCs/>
          <w:lang w:val="en-US"/>
        </w:rPr>
        <w:t>gels</w:t>
      </w:r>
      <w:r>
        <w:rPr>
          <w:lang w:val="en-US"/>
        </w:rPr>
        <w:t xml:space="preserve"> </w:t>
      </w:r>
      <w:r>
        <w:rPr>
          <w:lang w:val="en-US"/>
        </w:rPr>
        <w:lastRenderedPageBreak/>
        <w:t>are named G1, G2, G3, G4, G5, G6, G7 and G8, corresponding to the ingredients used to prepare them, in accordance with the description in the paper.</w:t>
      </w:r>
    </w:p>
    <w:p w14:paraId="6CE91AF9" w14:textId="77777777" w:rsidR="00760837" w:rsidRDefault="00000000">
      <w:pPr>
        <w:jc w:val="center"/>
        <w:rPr>
          <w:b/>
          <w:bCs/>
          <w:color w:val="215E99" w:themeColor="text2" w:themeTint="BF"/>
          <w:u w:val="single"/>
          <w:lang w:val="en-US"/>
        </w:rPr>
      </w:pPr>
      <w:r>
        <w:rPr>
          <w:b/>
          <w:bCs/>
          <w:color w:val="215E99" w:themeColor="text2" w:themeTint="BF"/>
          <w:u w:val="single"/>
          <w:lang w:val="en-US"/>
        </w:rPr>
        <w:t xml:space="preserve"> Dataset documentation</w:t>
      </w:r>
    </w:p>
    <w:p w14:paraId="45BCAA28" w14:textId="77777777" w:rsidR="00760837" w:rsidRDefault="00000000">
      <w:pPr>
        <w:jc w:val="both"/>
        <w:rPr>
          <w:i/>
          <w:iCs/>
          <w:color w:val="000000" w:themeColor="text1"/>
          <w:lang w:val="en-US"/>
        </w:rPr>
      </w:pPr>
      <w:r>
        <w:rPr>
          <w:i/>
          <w:iCs/>
          <w:color w:val="215E99" w:themeColor="text2" w:themeTint="BF"/>
          <w:lang w:val="en-US"/>
        </w:rPr>
        <w:t>Abstract</w:t>
      </w:r>
    </w:p>
    <w:p w14:paraId="71D8A95A" w14:textId="77777777" w:rsidR="00760837" w:rsidRDefault="00000000">
      <w:pPr>
        <w:jc w:val="both"/>
        <w:rPr>
          <w:color w:val="000000" w:themeColor="text1"/>
          <w:lang w:val="en-US"/>
        </w:rPr>
      </w:pPr>
      <w:r>
        <w:rPr>
          <w:color w:val="000000" w:themeColor="text1"/>
          <w:lang w:val="en-US"/>
        </w:rPr>
        <w:t>The dataset contains the rheological and pKa characterization of 8 formulations (G1 – G8) reported in the dataset as Excel files. The first two formulations are prepared by mixing an anionic surfactant, sodium cocoyl glycinate for G1 and sodium cocoyl alaninate for G2, in water with lactic acid. All the other formula (G3 – G8) are obtained with sodium cocoyl glycinate and the addition of several ingredients to create a supramolecular shampoo. For each formula, the rheological characterization comprises amplitude sweep, frequency sweep and viscosity curves. Only for formulations G1 and G2 also a temperature sweep test was performed, while the stability of the final formula G8 was characterized also after 3 months.</w:t>
      </w:r>
    </w:p>
    <w:p w14:paraId="1FE5E652" w14:textId="77777777" w:rsidR="00760837" w:rsidRDefault="00760837">
      <w:pPr>
        <w:jc w:val="both"/>
        <w:rPr>
          <w:i/>
          <w:iCs/>
          <w:color w:val="215E99" w:themeColor="text2" w:themeTint="BF"/>
          <w:lang w:val="en-US"/>
        </w:rPr>
      </w:pPr>
    </w:p>
    <w:p w14:paraId="51C19EBF" w14:textId="77777777" w:rsidR="00760837" w:rsidRDefault="00000000">
      <w:pPr>
        <w:jc w:val="both"/>
        <w:rPr>
          <w:i/>
          <w:iCs/>
          <w:color w:val="215E99" w:themeColor="text2" w:themeTint="BF"/>
          <w:lang w:val="en-US"/>
        </w:rPr>
      </w:pPr>
      <w:r>
        <w:rPr>
          <w:i/>
          <w:iCs/>
          <w:color w:val="215E99" w:themeColor="text2" w:themeTint="BF"/>
          <w:lang w:val="en-US"/>
        </w:rPr>
        <w:t>Content of the files</w:t>
      </w:r>
    </w:p>
    <w:p w14:paraId="0BF3DFC1" w14:textId="77777777" w:rsidR="00760837" w:rsidRDefault="00000000">
      <w:pPr>
        <w:jc w:val="both"/>
        <w:rPr>
          <w:highlight w:val="yellow"/>
          <w:lang w:val="en-US"/>
        </w:rPr>
      </w:pPr>
      <w:r>
        <w:rPr>
          <w:color w:val="000000" w:themeColor="text1"/>
          <w:lang w:val="en-US"/>
        </w:rPr>
        <w:t xml:space="preserve">The attached dataset includes the characterization of gel formulations. The dataset corresponds to the rheological analyses of formulations G1 – G8 (see tables below), reported in the paper: </w:t>
      </w:r>
      <w:r>
        <w:rPr>
          <w:i/>
          <w:iCs/>
          <w:lang w:val="en-US"/>
        </w:rPr>
        <w:t>From Fundamental Self-Assembly Studies to Applications in Everyday Life: the Formation of a Supramolecular Shampoo</w:t>
      </w:r>
      <w:r>
        <w:rPr>
          <w:lang w:val="en-US"/>
        </w:rPr>
        <w:t xml:space="preserve">, by Sofia Chinelli, Roberta Stile, Demetra Giuri, and Claudia Tomasini, </w:t>
      </w:r>
      <w:r>
        <w:rPr>
          <w:i/>
          <w:iCs/>
          <w:lang w:val="en-US"/>
        </w:rPr>
        <w:t xml:space="preserve">Gels </w:t>
      </w:r>
      <w:r>
        <w:rPr>
          <w:b/>
          <w:bCs/>
          <w:lang w:val="en-US"/>
        </w:rPr>
        <w:t>2026</w:t>
      </w:r>
      <w:r>
        <w:rPr>
          <w:lang w:val="en-US"/>
        </w:rPr>
        <w:t xml:space="preserve">, </w:t>
      </w:r>
      <w:hyperlink r:id="rId7">
        <w:r>
          <w:rPr>
            <w:rStyle w:val="Hyperlink"/>
            <w:i/>
            <w:iCs/>
            <w:lang w:val="en-US"/>
          </w:rPr>
          <w:t>https://doi.org/10.3390/gels12070589</w:t>
        </w:r>
      </w:hyperlink>
      <w:r>
        <w:rPr>
          <w:lang w:val="en-US"/>
        </w:rPr>
        <w:t>.</w:t>
      </w:r>
    </w:p>
    <w:p w14:paraId="25DBA4D7" w14:textId="77777777" w:rsidR="00760837" w:rsidRDefault="00000000">
      <w:pPr>
        <w:jc w:val="both"/>
        <w:rPr>
          <w:lang w:val="en-US"/>
        </w:rPr>
      </w:pPr>
      <w:r>
        <w:rPr>
          <w:lang w:val="en-US"/>
        </w:rPr>
        <w:t>Formulations ingredients:</w:t>
      </w:r>
    </w:p>
    <w:p w14:paraId="764F88A5" w14:textId="77777777" w:rsidR="00760837" w:rsidRDefault="00000000">
      <w:pPr>
        <w:pStyle w:val="MDPI31text"/>
        <w:ind w:left="0" w:firstLine="0"/>
        <w:rPr>
          <w:i/>
          <w:iCs/>
        </w:rPr>
      </w:pPr>
      <w:r>
        <w:rPr>
          <w:i/>
          <w:iCs/>
        </w:rPr>
        <w:t xml:space="preserve">Preparation of </w:t>
      </w:r>
      <w:r>
        <w:rPr>
          <w:b/>
          <w:bCs/>
          <w:i/>
          <w:iCs/>
        </w:rPr>
        <w:t>G1</w:t>
      </w:r>
      <w:r>
        <w:rPr>
          <w:i/>
          <w:iCs/>
        </w:rPr>
        <w:t>: SCG (10% w/w) + CAPB (4.5% w/w) + lactic acid</w:t>
      </w:r>
    </w:p>
    <w:p w14:paraId="643A1927" w14:textId="77777777" w:rsidR="00760837" w:rsidRDefault="00760837">
      <w:pPr>
        <w:pStyle w:val="MDPI31text"/>
        <w:ind w:left="0" w:firstLine="0"/>
        <w:rPr>
          <w:i/>
          <w:iCs/>
        </w:rPr>
      </w:pPr>
    </w:p>
    <w:p w14:paraId="23E3C6B6" w14:textId="77777777" w:rsidR="00760837" w:rsidRDefault="00000000">
      <w:pPr>
        <w:pStyle w:val="MDPI31text"/>
        <w:ind w:left="0" w:firstLine="0"/>
        <w:rPr>
          <w:i/>
          <w:iCs/>
        </w:rPr>
      </w:pPr>
      <w:r>
        <w:rPr>
          <w:i/>
          <w:iCs/>
        </w:rPr>
        <w:t xml:space="preserve">Preparation of </w:t>
      </w:r>
      <w:r>
        <w:rPr>
          <w:b/>
          <w:bCs/>
          <w:i/>
          <w:iCs/>
        </w:rPr>
        <w:t>G2</w:t>
      </w:r>
      <w:r>
        <w:rPr>
          <w:i/>
          <w:iCs/>
        </w:rPr>
        <w:t>: SCA (10% w/w) + CAPB (4.5% w/w) + lactic acid</w:t>
      </w:r>
    </w:p>
    <w:p w14:paraId="744AE9EA" w14:textId="77777777" w:rsidR="00760837" w:rsidRDefault="00760837">
      <w:pPr>
        <w:pStyle w:val="MDPI31text"/>
        <w:ind w:left="0" w:firstLine="0"/>
        <w:rPr>
          <w:i/>
          <w:iCs/>
        </w:rPr>
      </w:pPr>
    </w:p>
    <w:tbl>
      <w:tblPr>
        <w:tblW w:w="7831" w:type="dxa"/>
        <w:tblLayout w:type="fixed"/>
        <w:tblLook w:val="0000" w:firstRow="0" w:lastRow="0" w:firstColumn="0" w:lastColumn="0" w:noHBand="0" w:noVBand="0"/>
      </w:tblPr>
      <w:tblGrid>
        <w:gridCol w:w="3450"/>
        <w:gridCol w:w="1063"/>
        <w:gridCol w:w="886"/>
        <w:gridCol w:w="141"/>
        <w:gridCol w:w="1028"/>
        <w:gridCol w:w="1027"/>
        <w:gridCol w:w="236"/>
      </w:tblGrid>
      <w:tr w:rsidR="00760837" w14:paraId="0B7CFFA4" w14:textId="77777777">
        <w:trPr>
          <w:trHeight w:val="567"/>
        </w:trPr>
        <w:tc>
          <w:tcPr>
            <w:tcW w:w="3538" w:type="dxa"/>
            <w:vMerge w:val="restart"/>
            <w:tcBorders>
              <w:top w:val="single" w:sz="4" w:space="0" w:color="000000"/>
              <w:left w:val="single" w:sz="4" w:space="0" w:color="000000"/>
              <w:bottom w:val="single" w:sz="4" w:space="0" w:color="000000"/>
              <w:right w:val="single" w:sz="4" w:space="0" w:color="000000"/>
            </w:tcBorders>
            <w:vAlign w:val="center"/>
          </w:tcPr>
          <w:p w14:paraId="78FC9FE1"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 xml:space="preserve">INGREDIENTS </w:t>
            </w:r>
          </w:p>
        </w:tc>
        <w:tc>
          <w:tcPr>
            <w:tcW w:w="1086" w:type="dxa"/>
            <w:tcBorders>
              <w:top w:val="single" w:sz="4" w:space="0" w:color="000000"/>
              <w:left w:val="single" w:sz="4" w:space="0" w:color="000000"/>
              <w:bottom w:val="single" w:sz="4" w:space="0" w:color="000000"/>
              <w:right w:val="single" w:sz="4" w:space="0" w:color="000000"/>
            </w:tcBorders>
            <w:vAlign w:val="center"/>
          </w:tcPr>
          <w:p w14:paraId="0E8E6DE8" w14:textId="77777777" w:rsidR="00760837" w:rsidRDefault="00000000">
            <w:pPr>
              <w:pStyle w:val="Default"/>
              <w:jc w:val="center"/>
              <w:rPr>
                <w:rFonts w:ascii="Palatino Linotype" w:hAnsi="Palatino Linotype"/>
                <w:b/>
                <w:bCs/>
                <w:sz w:val="20"/>
                <w:szCs w:val="20"/>
              </w:rPr>
            </w:pPr>
            <w:r>
              <w:rPr>
                <w:rFonts w:ascii="Palatino Linotype" w:hAnsi="Palatino Linotype"/>
                <w:b/>
                <w:bCs/>
                <w:sz w:val="20"/>
                <w:szCs w:val="20"/>
              </w:rPr>
              <w:t>G3</w:t>
            </w: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091B17CE" w14:textId="77777777" w:rsidR="00760837" w:rsidRDefault="00000000">
            <w:pPr>
              <w:pStyle w:val="Default"/>
              <w:jc w:val="center"/>
              <w:rPr>
                <w:rFonts w:ascii="Palatino Linotype" w:hAnsi="Palatino Linotype"/>
                <w:b/>
                <w:bCs/>
                <w:sz w:val="20"/>
                <w:szCs w:val="20"/>
              </w:rPr>
            </w:pPr>
            <w:r>
              <w:rPr>
                <w:rFonts w:ascii="Palatino Linotype" w:hAnsi="Palatino Linotype"/>
                <w:b/>
                <w:bCs/>
                <w:sz w:val="20"/>
                <w:szCs w:val="20"/>
              </w:rPr>
              <w:t>G4</w:t>
            </w:r>
          </w:p>
        </w:tc>
        <w:tc>
          <w:tcPr>
            <w:tcW w:w="1049" w:type="dxa"/>
            <w:tcBorders>
              <w:top w:val="single" w:sz="4" w:space="0" w:color="000000"/>
              <w:left w:val="single" w:sz="4" w:space="0" w:color="000000"/>
              <w:bottom w:val="single" w:sz="4" w:space="0" w:color="000000"/>
              <w:right w:val="single" w:sz="4" w:space="0" w:color="000000"/>
            </w:tcBorders>
            <w:vAlign w:val="center"/>
          </w:tcPr>
          <w:p w14:paraId="6F6CE7FD" w14:textId="77777777" w:rsidR="00760837" w:rsidRDefault="00000000">
            <w:pPr>
              <w:pStyle w:val="Default"/>
              <w:jc w:val="center"/>
              <w:rPr>
                <w:rFonts w:ascii="Palatino Linotype" w:hAnsi="Palatino Linotype"/>
                <w:b/>
                <w:bCs/>
                <w:sz w:val="20"/>
                <w:szCs w:val="20"/>
              </w:rPr>
            </w:pPr>
            <w:r>
              <w:rPr>
                <w:rFonts w:ascii="Palatino Linotype" w:hAnsi="Palatino Linotype"/>
                <w:b/>
                <w:bCs/>
                <w:sz w:val="20"/>
                <w:szCs w:val="20"/>
              </w:rPr>
              <w:t>G5</w:t>
            </w:r>
          </w:p>
        </w:tc>
        <w:tc>
          <w:tcPr>
            <w:tcW w:w="1048" w:type="dxa"/>
            <w:tcBorders>
              <w:top w:val="single" w:sz="4" w:space="0" w:color="000000"/>
              <w:left w:val="single" w:sz="4" w:space="0" w:color="000000"/>
              <w:bottom w:val="single" w:sz="4" w:space="0" w:color="000000"/>
              <w:right w:val="single" w:sz="4" w:space="0" w:color="000000"/>
            </w:tcBorders>
            <w:vAlign w:val="center"/>
          </w:tcPr>
          <w:p w14:paraId="400CD0EB" w14:textId="77777777" w:rsidR="00760837" w:rsidRDefault="00000000">
            <w:pPr>
              <w:pStyle w:val="Default"/>
              <w:jc w:val="center"/>
              <w:rPr>
                <w:rFonts w:ascii="Palatino Linotype" w:hAnsi="Palatino Linotype"/>
                <w:b/>
                <w:bCs/>
                <w:sz w:val="20"/>
                <w:szCs w:val="20"/>
              </w:rPr>
            </w:pPr>
            <w:r>
              <w:rPr>
                <w:rFonts w:ascii="Palatino Linotype" w:hAnsi="Palatino Linotype"/>
                <w:b/>
                <w:bCs/>
                <w:sz w:val="20"/>
                <w:szCs w:val="20"/>
              </w:rPr>
              <w:t>G6</w:t>
            </w:r>
          </w:p>
        </w:tc>
        <w:tc>
          <w:tcPr>
            <w:tcW w:w="62" w:type="dxa"/>
          </w:tcPr>
          <w:p w14:paraId="46B79286" w14:textId="77777777" w:rsidR="00760837" w:rsidRDefault="00760837">
            <w:pPr>
              <w:spacing w:after="0" w:line="0" w:lineRule="atLeast"/>
              <w:rPr>
                <w:sz w:val="2"/>
              </w:rPr>
            </w:pPr>
          </w:p>
        </w:tc>
      </w:tr>
      <w:tr w:rsidR="00760837" w14:paraId="22BF9ACB" w14:textId="77777777">
        <w:trPr>
          <w:trHeight w:val="567"/>
        </w:trPr>
        <w:tc>
          <w:tcPr>
            <w:tcW w:w="3538" w:type="dxa"/>
            <w:vMerge/>
            <w:tcBorders>
              <w:top w:val="single" w:sz="4" w:space="0" w:color="000000"/>
              <w:left w:val="single" w:sz="4" w:space="0" w:color="000000"/>
              <w:bottom w:val="single" w:sz="4" w:space="0" w:color="000000"/>
              <w:right w:val="single" w:sz="4" w:space="0" w:color="000000"/>
            </w:tcBorders>
            <w:vAlign w:val="center"/>
          </w:tcPr>
          <w:p w14:paraId="5567EBB4" w14:textId="77777777" w:rsidR="00760837" w:rsidRDefault="00760837">
            <w:pPr>
              <w:pStyle w:val="Default"/>
              <w:jc w:val="center"/>
              <w:rPr>
                <w:rFonts w:ascii="Palatino Linotype" w:hAnsi="Palatino Linotype"/>
                <w:sz w:val="20"/>
                <w:szCs w:val="20"/>
              </w:rPr>
            </w:pPr>
          </w:p>
        </w:tc>
        <w:tc>
          <w:tcPr>
            <w:tcW w:w="1086" w:type="dxa"/>
            <w:tcBorders>
              <w:top w:val="single" w:sz="4" w:space="0" w:color="000000"/>
              <w:left w:val="single" w:sz="4" w:space="0" w:color="000000"/>
              <w:bottom w:val="single" w:sz="4" w:space="0" w:color="000000"/>
              <w:right w:val="single" w:sz="4" w:space="0" w:color="000000"/>
            </w:tcBorders>
            <w:vAlign w:val="center"/>
          </w:tcPr>
          <w:p w14:paraId="0ECA29EA"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 w/w)</w:t>
            </w: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7CB6C175"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 w/w)</w:t>
            </w:r>
          </w:p>
        </w:tc>
        <w:tc>
          <w:tcPr>
            <w:tcW w:w="1049" w:type="dxa"/>
            <w:tcBorders>
              <w:top w:val="single" w:sz="4" w:space="0" w:color="000000"/>
              <w:left w:val="single" w:sz="4" w:space="0" w:color="000000"/>
              <w:bottom w:val="single" w:sz="4" w:space="0" w:color="000000"/>
              <w:right w:val="single" w:sz="4" w:space="0" w:color="000000"/>
            </w:tcBorders>
            <w:vAlign w:val="center"/>
          </w:tcPr>
          <w:p w14:paraId="0A28A257"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 w/w)</w:t>
            </w:r>
          </w:p>
        </w:tc>
        <w:tc>
          <w:tcPr>
            <w:tcW w:w="1048" w:type="dxa"/>
            <w:tcBorders>
              <w:top w:val="single" w:sz="4" w:space="0" w:color="000000"/>
              <w:left w:val="single" w:sz="4" w:space="0" w:color="000000"/>
              <w:bottom w:val="single" w:sz="4" w:space="0" w:color="000000"/>
              <w:right w:val="single" w:sz="4" w:space="0" w:color="000000"/>
            </w:tcBorders>
            <w:vAlign w:val="center"/>
          </w:tcPr>
          <w:p w14:paraId="53E88865"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 w/w)</w:t>
            </w:r>
          </w:p>
        </w:tc>
        <w:tc>
          <w:tcPr>
            <w:tcW w:w="62" w:type="dxa"/>
          </w:tcPr>
          <w:p w14:paraId="1AC56BA7" w14:textId="77777777" w:rsidR="00760837" w:rsidRDefault="00760837">
            <w:pPr>
              <w:spacing w:after="0" w:line="0" w:lineRule="atLeast"/>
              <w:rPr>
                <w:sz w:val="2"/>
              </w:rPr>
            </w:pPr>
          </w:p>
        </w:tc>
      </w:tr>
      <w:tr w:rsidR="00760837" w14:paraId="35096EA4" w14:textId="77777777">
        <w:trPr>
          <w:trHeight w:val="567"/>
        </w:trPr>
        <w:tc>
          <w:tcPr>
            <w:tcW w:w="3538" w:type="dxa"/>
            <w:tcBorders>
              <w:top w:val="single" w:sz="4" w:space="0" w:color="000000"/>
              <w:left w:val="single" w:sz="4" w:space="0" w:color="000000"/>
              <w:bottom w:val="single" w:sz="4" w:space="0" w:color="000000"/>
              <w:right w:val="single" w:sz="4" w:space="0" w:color="000000"/>
            </w:tcBorders>
            <w:vAlign w:val="center"/>
          </w:tcPr>
          <w:p w14:paraId="2BA22F45"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 xml:space="preserve">SCG (commercial solution at </w:t>
            </w:r>
            <w:r w:rsidRPr="002A04A7">
              <w:rPr>
                <w:rFonts w:ascii="Palatino Linotype" w:hAnsi="Palatino Linotype"/>
                <w:sz w:val="20"/>
                <w:szCs w:val="20"/>
              </w:rPr>
              <w:t>22</w:t>
            </w:r>
            <w:r>
              <w:rPr>
                <w:rFonts w:ascii="Palatino Linotype" w:hAnsi="Palatino Linotype"/>
                <w:sz w:val="20"/>
                <w:szCs w:val="20"/>
              </w:rPr>
              <w:t>%)</w:t>
            </w:r>
          </w:p>
        </w:tc>
        <w:tc>
          <w:tcPr>
            <w:tcW w:w="1086" w:type="dxa"/>
            <w:tcBorders>
              <w:top w:val="single" w:sz="4" w:space="0" w:color="000000"/>
              <w:left w:val="single" w:sz="4" w:space="0" w:color="000000"/>
              <w:bottom w:val="single" w:sz="4" w:space="0" w:color="000000"/>
              <w:right w:val="single" w:sz="4" w:space="0" w:color="000000"/>
            </w:tcBorders>
            <w:vAlign w:val="center"/>
          </w:tcPr>
          <w:p w14:paraId="07FC3586"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45.40</w:t>
            </w: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719E05C8"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45.40</w:t>
            </w:r>
          </w:p>
        </w:tc>
        <w:tc>
          <w:tcPr>
            <w:tcW w:w="1049" w:type="dxa"/>
            <w:tcBorders>
              <w:top w:val="single" w:sz="4" w:space="0" w:color="000000"/>
              <w:left w:val="single" w:sz="4" w:space="0" w:color="000000"/>
              <w:bottom w:val="single" w:sz="4" w:space="0" w:color="000000"/>
              <w:right w:val="single" w:sz="4" w:space="0" w:color="000000"/>
            </w:tcBorders>
            <w:vAlign w:val="center"/>
          </w:tcPr>
          <w:p w14:paraId="5650BB06"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45.40</w:t>
            </w:r>
          </w:p>
        </w:tc>
        <w:tc>
          <w:tcPr>
            <w:tcW w:w="1048" w:type="dxa"/>
            <w:tcBorders>
              <w:top w:val="single" w:sz="4" w:space="0" w:color="000000"/>
              <w:left w:val="single" w:sz="4" w:space="0" w:color="000000"/>
              <w:bottom w:val="single" w:sz="4" w:space="0" w:color="000000"/>
              <w:right w:val="single" w:sz="4" w:space="0" w:color="000000"/>
            </w:tcBorders>
            <w:vAlign w:val="center"/>
          </w:tcPr>
          <w:p w14:paraId="7223A846"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45.40</w:t>
            </w:r>
          </w:p>
        </w:tc>
        <w:tc>
          <w:tcPr>
            <w:tcW w:w="62" w:type="dxa"/>
          </w:tcPr>
          <w:p w14:paraId="5CFB7020" w14:textId="77777777" w:rsidR="00760837" w:rsidRDefault="00760837">
            <w:pPr>
              <w:spacing w:after="0" w:line="0" w:lineRule="atLeast"/>
              <w:rPr>
                <w:sz w:val="2"/>
              </w:rPr>
            </w:pPr>
          </w:p>
        </w:tc>
      </w:tr>
      <w:tr w:rsidR="00760837" w14:paraId="642C9F12" w14:textId="77777777">
        <w:trPr>
          <w:trHeight w:val="567"/>
        </w:trPr>
        <w:tc>
          <w:tcPr>
            <w:tcW w:w="3538" w:type="dxa"/>
            <w:tcBorders>
              <w:top w:val="single" w:sz="4" w:space="0" w:color="000000"/>
              <w:left w:val="single" w:sz="4" w:space="0" w:color="000000"/>
              <w:bottom w:val="single" w:sz="4" w:space="0" w:color="000000"/>
              <w:right w:val="single" w:sz="4" w:space="0" w:color="000000"/>
            </w:tcBorders>
            <w:vAlign w:val="center"/>
          </w:tcPr>
          <w:p w14:paraId="45E65C73"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CAPB (commercial solution at 30%)</w:t>
            </w:r>
          </w:p>
        </w:tc>
        <w:tc>
          <w:tcPr>
            <w:tcW w:w="1086" w:type="dxa"/>
            <w:tcBorders>
              <w:top w:val="single" w:sz="4" w:space="0" w:color="000000"/>
              <w:left w:val="single" w:sz="4" w:space="0" w:color="000000"/>
              <w:bottom w:val="single" w:sz="4" w:space="0" w:color="000000"/>
              <w:right w:val="single" w:sz="4" w:space="0" w:color="000000"/>
            </w:tcBorders>
            <w:vAlign w:val="center"/>
          </w:tcPr>
          <w:p w14:paraId="31757D92"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15.00</w:t>
            </w: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035F230F"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15.00</w:t>
            </w:r>
          </w:p>
        </w:tc>
        <w:tc>
          <w:tcPr>
            <w:tcW w:w="1049" w:type="dxa"/>
            <w:tcBorders>
              <w:top w:val="single" w:sz="4" w:space="0" w:color="000000"/>
              <w:left w:val="single" w:sz="4" w:space="0" w:color="000000"/>
              <w:bottom w:val="single" w:sz="4" w:space="0" w:color="000000"/>
              <w:right w:val="single" w:sz="4" w:space="0" w:color="000000"/>
            </w:tcBorders>
            <w:vAlign w:val="center"/>
          </w:tcPr>
          <w:p w14:paraId="73D0A1D4"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15.00</w:t>
            </w:r>
          </w:p>
        </w:tc>
        <w:tc>
          <w:tcPr>
            <w:tcW w:w="1048" w:type="dxa"/>
            <w:tcBorders>
              <w:top w:val="single" w:sz="4" w:space="0" w:color="000000"/>
              <w:left w:val="single" w:sz="4" w:space="0" w:color="000000"/>
              <w:bottom w:val="single" w:sz="4" w:space="0" w:color="000000"/>
              <w:right w:val="single" w:sz="4" w:space="0" w:color="000000"/>
            </w:tcBorders>
            <w:vAlign w:val="center"/>
          </w:tcPr>
          <w:p w14:paraId="25DD48BD"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15.00</w:t>
            </w:r>
          </w:p>
        </w:tc>
        <w:tc>
          <w:tcPr>
            <w:tcW w:w="62" w:type="dxa"/>
          </w:tcPr>
          <w:p w14:paraId="353C44EA" w14:textId="77777777" w:rsidR="00760837" w:rsidRDefault="00760837">
            <w:pPr>
              <w:spacing w:after="0" w:line="0" w:lineRule="atLeast"/>
              <w:rPr>
                <w:sz w:val="2"/>
              </w:rPr>
            </w:pPr>
          </w:p>
        </w:tc>
      </w:tr>
      <w:tr w:rsidR="00760837" w14:paraId="6899832D" w14:textId="77777777">
        <w:trPr>
          <w:trHeight w:val="567"/>
        </w:trPr>
        <w:tc>
          <w:tcPr>
            <w:tcW w:w="3538" w:type="dxa"/>
            <w:tcBorders>
              <w:top w:val="single" w:sz="4" w:space="0" w:color="000000"/>
              <w:left w:val="single" w:sz="4" w:space="0" w:color="000000"/>
              <w:bottom w:val="single" w:sz="4" w:space="0" w:color="000000"/>
              <w:right w:val="single" w:sz="4" w:space="0" w:color="000000"/>
            </w:tcBorders>
            <w:vAlign w:val="center"/>
          </w:tcPr>
          <w:p w14:paraId="1EDF5C1E"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lactic acid</w:t>
            </w:r>
          </w:p>
        </w:tc>
        <w:tc>
          <w:tcPr>
            <w:tcW w:w="1086" w:type="dxa"/>
            <w:tcBorders>
              <w:top w:val="single" w:sz="4" w:space="0" w:color="000000"/>
              <w:left w:val="single" w:sz="4" w:space="0" w:color="000000"/>
              <w:bottom w:val="single" w:sz="4" w:space="0" w:color="000000"/>
              <w:right w:val="single" w:sz="4" w:space="0" w:color="000000"/>
            </w:tcBorders>
            <w:vAlign w:val="center"/>
          </w:tcPr>
          <w:p w14:paraId="79DDB7EC"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2.40</w:t>
            </w: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49E5CE72"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2.40</w:t>
            </w:r>
          </w:p>
        </w:tc>
        <w:tc>
          <w:tcPr>
            <w:tcW w:w="1049" w:type="dxa"/>
            <w:tcBorders>
              <w:top w:val="single" w:sz="4" w:space="0" w:color="000000"/>
              <w:left w:val="single" w:sz="4" w:space="0" w:color="000000"/>
              <w:bottom w:val="single" w:sz="4" w:space="0" w:color="000000"/>
              <w:right w:val="single" w:sz="4" w:space="0" w:color="000000"/>
            </w:tcBorders>
            <w:vAlign w:val="center"/>
          </w:tcPr>
          <w:p w14:paraId="102DD30B"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2.40</w:t>
            </w:r>
          </w:p>
        </w:tc>
        <w:tc>
          <w:tcPr>
            <w:tcW w:w="1048" w:type="dxa"/>
            <w:tcBorders>
              <w:top w:val="single" w:sz="4" w:space="0" w:color="000000"/>
              <w:left w:val="single" w:sz="4" w:space="0" w:color="000000"/>
              <w:bottom w:val="single" w:sz="4" w:space="0" w:color="000000"/>
              <w:right w:val="single" w:sz="4" w:space="0" w:color="000000"/>
            </w:tcBorders>
            <w:vAlign w:val="center"/>
          </w:tcPr>
          <w:p w14:paraId="4906087D"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2.40</w:t>
            </w:r>
          </w:p>
        </w:tc>
        <w:tc>
          <w:tcPr>
            <w:tcW w:w="62" w:type="dxa"/>
          </w:tcPr>
          <w:p w14:paraId="078085CB" w14:textId="77777777" w:rsidR="00760837" w:rsidRDefault="00760837">
            <w:pPr>
              <w:spacing w:after="0" w:line="0" w:lineRule="atLeast"/>
              <w:rPr>
                <w:sz w:val="2"/>
              </w:rPr>
            </w:pPr>
          </w:p>
        </w:tc>
      </w:tr>
      <w:tr w:rsidR="00760837" w14:paraId="3425DEA1" w14:textId="77777777">
        <w:trPr>
          <w:trHeight w:val="567"/>
        </w:trPr>
        <w:tc>
          <w:tcPr>
            <w:tcW w:w="3538" w:type="dxa"/>
            <w:tcBorders>
              <w:top w:val="single" w:sz="4" w:space="0" w:color="000000"/>
              <w:left w:val="single" w:sz="4" w:space="0" w:color="000000"/>
              <w:bottom w:val="single" w:sz="4" w:space="0" w:color="000000"/>
              <w:right w:val="single" w:sz="4" w:space="0" w:color="000000"/>
            </w:tcBorders>
            <w:vAlign w:val="center"/>
          </w:tcPr>
          <w:p w14:paraId="644A4BA8"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benzylic alcohol</w:t>
            </w:r>
          </w:p>
        </w:tc>
        <w:tc>
          <w:tcPr>
            <w:tcW w:w="1086" w:type="dxa"/>
            <w:tcBorders>
              <w:top w:val="single" w:sz="4" w:space="0" w:color="000000"/>
              <w:left w:val="single" w:sz="4" w:space="0" w:color="000000"/>
              <w:bottom w:val="single" w:sz="4" w:space="0" w:color="000000"/>
              <w:right w:val="single" w:sz="4" w:space="0" w:color="000000"/>
            </w:tcBorders>
            <w:vAlign w:val="center"/>
          </w:tcPr>
          <w:p w14:paraId="114564F8" w14:textId="77777777" w:rsidR="00760837" w:rsidRDefault="00000000">
            <w:pPr>
              <w:pStyle w:val="Default"/>
              <w:jc w:val="center"/>
              <w:rPr>
                <w:rFonts w:ascii="Palatino Linotype" w:hAnsi="Palatino Linotype"/>
                <w:color w:val="auto"/>
                <w:sz w:val="20"/>
                <w:szCs w:val="20"/>
              </w:rPr>
            </w:pPr>
            <w:r>
              <w:rPr>
                <w:rFonts w:ascii="Palatino Linotype" w:hAnsi="Palatino Linotype"/>
                <w:color w:val="auto"/>
                <w:sz w:val="20"/>
                <w:szCs w:val="20"/>
              </w:rPr>
              <w:t>0.50</w:t>
            </w: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2E3F3804" w14:textId="77777777" w:rsidR="00760837" w:rsidRDefault="00000000">
            <w:pPr>
              <w:pStyle w:val="Default"/>
              <w:jc w:val="center"/>
              <w:rPr>
                <w:rFonts w:ascii="Palatino Linotype" w:hAnsi="Palatino Linotype"/>
                <w:color w:val="auto"/>
                <w:sz w:val="20"/>
                <w:szCs w:val="20"/>
              </w:rPr>
            </w:pPr>
            <w:r>
              <w:rPr>
                <w:rFonts w:ascii="Palatino Linotype" w:hAnsi="Palatino Linotype"/>
                <w:color w:val="auto"/>
                <w:sz w:val="20"/>
                <w:szCs w:val="20"/>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4A54B497" w14:textId="77777777" w:rsidR="00760837" w:rsidRDefault="00000000">
            <w:pPr>
              <w:pStyle w:val="Default"/>
              <w:jc w:val="center"/>
              <w:rPr>
                <w:rFonts w:ascii="Palatino Linotype" w:hAnsi="Palatino Linotype"/>
                <w:color w:val="auto"/>
                <w:sz w:val="20"/>
                <w:szCs w:val="20"/>
              </w:rPr>
            </w:pPr>
            <w:r>
              <w:rPr>
                <w:rFonts w:ascii="Palatino Linotype" w:hAnsi="Palatino Linotype"/>
                <w:color w:val="auto"/>
                <w:sz w:val="20"/>
                <w:szCs w:val="20"/>
              </w:rPr>
              <w:t>/</w:t>
            </w:r>
          </w:p>
        </w:tc>
        <w:tc>
          <w:tcPr>
            <w:tcW w:w="1048" w:type="dxa"/>
            <w:tcBorders>
              <w:top w:val="single" w:sz="4" w:space="0" w:color="000000"/>
              <w:left w:val="single" w:sz="4" w:space="0" w:color="000000"/>
              <w:bottom w:val="single" w:sz="4" w:space="0" w:color="000000"/>
              <w:right w:val="single" w:sz="4" w:space="0" w:color="000000"/>
            </w:tcBorders>
            <w:vAlign w:val="center"/>
          </w:tcPr>
          <w:p w14:paraId="2EA0D51B" w14:textId="77777777" w:rsidR="00760837" w:rsidRDefault="00000000">
            <w:pPr>
              <w:pStyle w:val="Default"/>
              <w:jc w:val="center"/>
              <w:rPr>
                <w:rFonts w:ascii="Palatino Linotype" w:hAnsi="Palatino Linotype"/>
                <w:color w:val="auto"/>
                <w:sz w:val="20"/>
                <w:szCs w:val="20"/>
              </w:rPr>
            </w:pPr>
            <w:r>
              <w:rPr>
                <w:rFonts w:ascii="Palatino Linotype" w:hAnsi="Palatino Linotype"/>
                <w:color w:val="auto"/>
                <w:sz w:val="20"/>
                <w:szCs w:val="20"/>
              </w:rPr>
              <w:t>/</w:t>
            </w:r>
          </w:p>
        </w:tc>
        <w:tc>
          <w:tcPr>
            <w:tcW w:w="62" w:type="dxa"/>
          </w:tcPr>
          <w:p w14:paraId="6B1C34E3" w14:textId="77777777" w:rsidR="00760837" w:rsidRDefault="00760837">
            <w:pPr>
              <w:spacing w:after="0" w:line="0" w:lineRule="atLeast"/>
              <w:rPr>
                <w:sz w:val="2"/>
              </w:rPr>
            </w:pPr>
          </w:p>
        </w:tc>
      </w:tr>
      <w:tr w:rsidR="00760837" w14:paraId="2ECEDEDB" w14:textId="77777777">
        <w:trPr>
          <w:trHeight w:val="567"/>
        </w:trPr>
        <w:tc>
          <w:tcPr>
            <w:tcW w:w="3538" w:type="dxa"/>
            <w:tcBorders>
              <w:top w:val="single" w:sz="4" w:space="0" w:color="000000"/>
              <w:left w:val="single" w:sz="4" w:space="0" w:color="000000"/>
              <w:bottom w:val="single" w:sz="4" w:space="0" w:color="000000"/>
              <w:right w:val="single" w:sz="4" w:space="0" w:color="000000"/>
            </w:tcBorders>
            <w:vAlign w:val="center"/>
          </w:tcPr>
          <w:p w14:paraId="2BDA8B33"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sodium benzoate</w:t>
            </w:r>
          </w:p>
        </w:tc>
        <w:tc>
          <w:tcPr>
            <w:tcW w:w="1086" w:type="dxa"/>
            <w:tcBorders>
              <w:top w:val="single" w:sz="4" w:space="0" w:color="000000"/>
              <w:left w:val="single" w:sz="4" w:space="0" w:color="000000"/>
              <w:bottom w:val="single" w:sz="4" w:space="0" w:color="000000"/>
              <w:right w:val="single" w:sz="4" w:space="0" w:color="000000"/>
            </w:tcBorders>
            <w:vAlign w:val="center"/>
          </w:tcPr>
          <w:p w14:paraId="7A1AECA7" w14:textId="77777777" w:rsidR="00760837" w:rsidRDefault="00000000">
            <w:pPr>
              <w:pStyle w:val="Default"/>
              <w:jc w:val="center"/>
              <w:rPr>
                <w:rFonts w:ascii="Palatino Linotype" w:hAnsi="Palatino Linotype"/>
                <w:color w:val="auto"/>
                <w:sz w:val="20"/>
                <w:szCs w:val="20"/>
              </w:rPr>
            </w:pPr>
            <w:r>
              <w:rPr>
                <w:rFonts w:ascii="Palatino Linotype" w:hAnsi="Palatino Linotype"/>
                <w:color w:val="auto"/>
                <w:sz w:val="20"/>
                <w:szCs w:val="20"/>
              </w:rPr>
              <w:t>/</w:t>
            </w: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75F5CDA8" w14:textId="77777777" w:rsidR="00760837" w:rsidRDefault="00000000">
            <w:pPr>
              <w:pStyle w:val="Default"/>
              <w:jc w:val="center"/>
              <w:rPr>
                <w:rFonts w:ascii="Palatino Linotype" w:hAnsi="Palatino Linotype"/>
                <w:color w:val="auto"/>
                <w:sz w:val="20"/>
                <w:szCs w:val="20"/>
              </w:rPr>
            </w:pPr>
            <w:r>
              <w:rPr>
                <w:rFonts w:ascii="Palatino Linotype" w:hAnsi="Palatino Linotype"/>
                <w:color w:val="auto"/>
                <w:sz w:val="20"/>
                <w:szCs w:val="20"/>
              </w:rPr>
              <w:t>0.19</w:t>
            </w:r>
          </w:p>
        </w:tc>
        <w:tc>
          <w:tcPr>
            <w:tcW w:w="1049" w:type="dxa"/>
            <w:tcBorders>
              <w:top w:val="single" w:sz="4" w:space="0" w:color="000000"/>
              <w:left w:val="single" w:sz="4" w:space="0" w:color="000000"/>
              <w:bottom w:val="single" w:sz="4" w:space="0" w:color="000000"/>
              <w:right w:val="single" w:sz="4" w:space="0" w:color="000000"/>
            </w:tcBorders>
            <w:vAlign w:val="center"/>
          </w:tcPr>
          <w:p w14:paraId="71DFA422" w14:textId="77777777" w:rsidR="00760837" w:rsidRDefault="00000000">
            <w:pPr>
              <w:pStyle w:val="Default"/>
              <w:jc w:val="center"/>
              <w:rPr>
                <w:rFonts w:ascii="Palatino Linotype" w:hAnsi="Palatino Linotype"/>
                <w:color w:val="auto"/>
                <w:sz w:val="20"/>
                <w:szCs w:val="20"/>
              </w:rPr>
            </w:pPr>
            <w:r>
              <w:rPr>
                <w:rFonts w:ascii="Palatino Linotype" w:hAnsi="Palatino Linotype"/>
                <w:color w:val="auto"/>
                <w:sz w:val="20"/>
                <w:szCs w:val="20"/>
              </w:rPr>
              <w:t>/</w:t>
            </w:r>
          </w:p>
        </w:tc>
        <w:tc>
          <w:tcPr>
            <w:tcW w:w="1048" w:type="dxa"/>
            <w:tcBorders>
              <w:top w:val="single" w:sz="4" w:space="0" w:color="000000"/>
              <w:left w:val="single" w:sz="4" w:space="0" w:color="000000"/>
              <w:bottom w:val="single" w:sz="4" w:space="0" w:color="000000"/>
              <w:right w:val="single" w:sz="4" w:space="0" w:color="000000"/>
            </w:tcBorders>
            <w:vAlign w:val="center"/>
          </w:tcPr>
          <w:p w14:paraId="2BA8A12B" w14:textId="77777777" w:rsidR="00760837" w:rsidRDefault="00000000">
            <w:pPr>
              <w:pStyle w:val="Default"/>
              <w:jc w:val="center"/>
              <w:rPr>
                <w:rFonts w:ascii="Palatino Linotype" w:hAnsi="Palatino Linotype"/>
                <w:color w:val="auto"/>
                <w:sz w:val="20"/>
                <w:szCs w:val="20"/>
              </w:rPr>
            </w:pPr>
            <w:r>
              <w:rPr>
                <w:rFonts w:ascii="Palatino Linotype" w:hAnsi="Palatino Linotype"/>
                <w:color w:val="auto"/>
                <w:sz w:val="20"/>
                <w:szCs w:val="20"/>
              </w:rPr>
              <w:t>/</w:t>
            </w:r>
          </w:p>
        </w:tc>
        <w:tc>
          <w:tcPr>
            <w:tcW w:w="62" w:type="dxa"/>
          </w:tcPr>
          <w:p w14:paraId="7F3BA8FD" w14:textId="77777777" w:rsidR="00760837" w:rsidRDefault="00760837">
            <w:pPr>
              <w:spacing w:after="0" w:line="0" w:lineRule="atLeast"/>
              <w:rPr>
                <w:sz w:val="2"/>
              </w:rPr>
            </w:pPr>
          </w:p>
        </w:tc>
      </w:tr>
      <w:tr w:rsidR="00760837" w14:paraId="5C8DE401" w14:textId="77777777">
        <w:trPr>
          <w:trHeight w:val="567"/>
        </w:trPr>
        <w:tc>
          <w:tcPr>
            <w:tcW w:w="3538" w:type="dxa"/>
            <w:tcBorders>
              <w:top w:val="single" w:sz="4" w:space="0" w:color="000000"/>
              <w:left w:val="single" w:sz="4" w:space="0" w:color="000000"/>
              <w:bottom w:val="single" w:sz="4" w:space="0" w:color="000000"/>
              <w:right w:val="single" w:sz="4" w:space="0" w:color="000000"/>
            </w:tcBorders>
            <w:vAlign w:val="center"/>
          </w:tcPr>
          <w:p w14:paraId="51485598"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caprylhydroxamic acid/1,2-hexanediol/propanediol</w:t>
            </w:r>
          </w:p>
        </w:tc>
        <w:tc>
          <w:tcPr>
            <w:tcW w:w="1086" w:type="dxa"/>
            <w:tcBorders>
              <w:top w:val="single" w:sz="4" w:space="0" w:color="000000"/>
              <w:left w:val="single" w:sz="4" w:space="0" w:color="000000"/>
              <w:bottom w:val="single" w:sz="4" w:space="0" w:color="000000"/>
              <w:right w:val="single" w:sz="4" w:space="0" w:color="000000"/>
            </w:tcBorders>
            <w:vAlign w:val="center"/>
          </w:tcPr>
          <w:p w14:paraId="5F08807C" w14:textId="77777777" w:rsidR="00760837" w:rsidRDefault="00000000">
            <w:pPr>
              <w:pStyle w:val="Default"/>
              <w:jc w:val="center"/>
              <w:rPr>
                <w:rFonts w:ascii="Palatino Linotype" w:hAnsi="Palatino Linotype"/>
                <w:color w:val="auto"/>
                <w:sz w:val="20"/>
                <w:szCs w:val="20"/>
              </w:rPr>
            </w:pPr>
            <w:r>
              <w:rPr>
                <w:rFonts w:ascii="Palatino Linotype" w:hAnsi="Palatino Linotype"/>
                <w:color w:val="auto"/>
                <w:sz w:val="20"/>
                <w:szCs w:val="20"/>
              </w:rPr>
              <w:t>/</w:t>
            </w: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6435EDD6" w14:textId="77777777" w:rsidR="00760837" w:rsidRDefault="00000000">
            <w:pPr>
              <w:pStyle w:val="Default"/>
              <w:jc w:val="center"/>
              <w:rPr>
                <w:rFonts w:ascii="Palatino Linotype" w:hAnsi="Palatino Linotype"/>
                <w:color w:val="auto"/>
                <w:sz w:val="20"/>
                <w:szCs w:val="20"/>
              </w:rPr>
            </w:pPr>
            <w:r>
              <w:rPr>
                <w:rFonts w:ascii="Palatino Linotype" w:hAnsi="Palatino Linotype"/>
                <w:color w:val="auto"/>
                <w:sz w:val="20"/>
                <w:szCs w:val="20"/>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03F20DF4" w14:textId="77777777" w:rsidR="00760837" w:rsidRDefault="00000000">
            <w:pPr>
              <w:pStyle w:val="Default"/>
              <w:jc w:val="center"/>
              <w:rPr>
                <w:rFonts w:ascii="Palatino Linotype" w:hAnsi="Palatino Linotype"/>
                <w:color w:val="auto"/>
                <w:sz w:val="20"/>
                <w:szCs w:val="20"/>
              </w:rPr>
            </w:pPr>
            <w:r>
              <w:rPr>
                <w:rFonts w:ascii="Palatino Linotype" w:hAnsi="Palatino Linotype"/>
                <w:color w:val="auto"/>
                <w:sz w:val="20"/>
                <w:szCs w:val="20"/>
              </w:rPr>
              <w:t>1.50</w:t>
            </w:r>
          </w:p>
        </w:tc>
        <w:tc>
          <w:tcPr>
            <w:tcW w:w="1048" w:type="dxa"/>
            <w:tcBorders>
              <w:top w:val="single" w:sz="4" w:space="0" w:color="000000"/>
              <w:left w:val="single" w:sz="4" w:space="0" w:color="000000"/>
              <w:bottom w:val="single" w:sz="4" w:space="0" w:color="000000"/>
              <w:right w:val="single" w:sz="4" w:space="0" w:color="000000"/>
            </w:tcBorders>
            <w:vAlign w:val="center"/>
          </w:tcPr>
          <w:p w14:paraId="780DE9A2" w14:textId="77777777" w:rsidR="00760837" w:rsidRDefault="00000000">
            <w:pPr>
              <w:pStyle w:val="Default"/>
              <w:jc w:val="center"/>
              <w:rPr>
                <w:rFonts w:ascii="Palatino Linotype" w:hAnsi="Palatino Linotype"/>
                <w:color w:val="auto"/>
                <w:sz w:val="20"/>
                <w:szCs w:val="20"/>
              </w:rPr>
            </w:pPr>
            <w:r>
              <w:rPr>
                <w:rFonts w:ascii="Palatino Linotype" w:hAnsi="Palatino Linotype"/>
                <w:color w:val="auto"/>
                <w:sz w:val="20"/>
                <w:szCs w:val="20"/>
              </w:rPr>
              <w:t>/</w:t>
            </w:r>
          </w:p>
        </w:tc>
        <w:tc>
          <w:tcPr>
            <w:tcW w:w="62" w:type="dxa"/>
          </w:tcPr>
          <w:p w14:paraId="48C8DB32" w14:textId="77777777" w:rsidR="00760837" w:rsidRDefault="00760837">
            <w:pPr>
              <w:spacing w:after="0" w:line="0" w:lineRule="atLeast"/>
              <w:rPr>
                <w:sz w:val="2"/>
              </w:rPr>
            </w:pPr>
          </w:p>
        </w:tc>
      </w:tr>
      <w:tr w:rsidR="00760837" w14:paraId="1930D475" w14:textId="77777777">
        <w:trPr>
          <w:trHeight w:val="567"/>
        </w:trPr>
        <w:tc>
          <w:tcPr>
            <w:tcW w:w="3538" w:type="dxa"/>
            <w:tcBorders>
              <w:top w:val="single" w:sz="4" w:space="0" w:color="000000"/>
              <w:left w:val="single" w:sz="4" w:space="0" w:color="000000"/>
              <w:bottom w:val="single" w:sz="4" w:space="0" w:color="000000"/>
              <w:right w:val="single" w:sz="4" w:space="0" w:color="000000"/>
            </w:tcBorders>
            <w:vAlign w:val="center"/>
          </w:tcPr>
          <w:p w14:paraId="4A70E835"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lastRenderedPageBreak/>
              <w:t>phenoxyethanol and ethylhexylglycerin</w:t>
            </w:r>
          </w:p>
        </w:tc>
        <w:tc>
          <w:tcPr>
            <w:tcW w:w="1086" w:type="dxa"/>
            <w:tcBorders>
              <w:top w:val="single" w:sz="4" w:space="0" w:color="000000"/>
              <w:left w:val="single" w:sz="4" w:space="0" w:color="000000"/>
              <w:bottom w:val="single" w:sz="4" w:space="0" w:color="000000"/>
              <w:right w:val="single" w:sz="4" w:space="0" w:color="000000"/>
            </w:tcBorders>
            <w:vAlign w:val="center"/>
          </w:tcPr>
          <w:p w14:paraId="68891E08" w14:textId="77777777" w:rsidR="00760837" w:rsidRDefault="00000000">
            <w:pPr>
              <w:pStyle w:val="Default"/>
              <w:jc w:val="center"/>
              <w:rPr>
                <w:rFonts w:ascii="Palatino Linotype" w:hAnsi="Palatino Linotype"/>
                <w:color w:val="auto"/>
                <w:sz w:val="20"/>
                <w:szCs w:val="20"/>
              </w:rPr>
            </w:pPr>
            <w:r>
              <w:rPr>
                <w:rFonts w:ascii="Palatino Linotype" w:hAnsi="Palatino Linotype"/>
                <w:color w:val="auto"/>
                <w:sz w:val="20"/>
                <w:szCs w:val="20"/>
              </w:rPr>
              <w:t>/</w:t>
            </w: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6F51FE82" w14:textId="77777777" w:rsidR="00760837" w:rsidRDefault="00000000">
            <w:pPr>
              <w:pStyle w:val="Default"/>
              <w:jc w:val="center"/>
              <w:rPr>
                <w:rFonts w:ascii="Palatino Linotype" w:hAnsi="Palatino Linotype"/>
                <w:color w:val="auto"/>
                <w:sz w:val="20"/>
                <w:szCs w:val="20"/>
              </w:rPr>
            </w:pPr>
            <w:r>
              <w:rPr>
                <w:rFonts w:ascii="Palatino Linotype" w:hAnsi="Palatino Linotype"/>
                <w:color w:val="auto"/>
                <w:sz w:val="20"/>
                <w:szCs w:val="20"/>
              </w:rPr>
              <w:t>/</w:t>
            </w:r>
          </w:p>
        </w:tc>
        <w:tc>
          <w:tcPr>
            <w:tcW w:w="1049" w:type="dxa"/>
            <w:tcBorders>
              <w:top w:val="single" w:sz="4" w:space="0" w:color="000000"/>
              <w:left w:val="single" w:sz="4" w:space="0" w:color="000000"/>
              <w:bottom w:val="single" w:sz="4" w:space="0" w:color="000000"/>
              <w:right w:val="single" w:sz="4" w:space="0" w:color="000000"/>
            </w:tcBorders>
            <w:vAlign w:val="center"/>
          </w:tcPr>
          <w:p w14:paraId="379DA6C1" w14:textId="77777777" w:rsidR="00760837" w:rsidRDefault="00000000">
            <w:pPr>
              <w:pStyle w:val="Default"/>
              <w:jc w:val="center"/>
              <w:rPr>
                <w:rFonts w:ascii="Palatino Linotype" w:hAnsi="Palatino Linotype"/>
                <w:color w:val="auto"/>
                <w:sz w:val="20"/>
                <w:szCs w:val="20"/>
              </w:rPr>
            </w:pPr>
            <w:r>
              <w:rPr>
                <w:rFonts w:ascii="Palatino Linotype" w:hAnsi="Palatino Linotype"/>
                <w:color w:val="auto"/>
                <w:sz w:val="20"/>
                <w:szCs w:val="20"/>
              </w:rPr>
              <w:t>/</w:t>
            </w:r>
          </w:p>
        </w:tc>
        <w:tc>
          <w:tcPr>
            <w:tcW w:w="1048" w:type="dxa"/>
            <w:tcBorders>
              <w:top w:val="single" w:sz="4" w:space="0" w:color="000000"/>
              <w:left w:val="single" w:sz="4" w:space="0" w:color="000000"/>
              <w:bottom w:val="single" w:sz="4" w:space="0" w:color="000000"/>
              <w:right w:val="single" w:sz="4" w:space="0" w:color="000000"/>
            </w:tcBorders>
            <w:vAlign w:val="center"/>
          </w:tcPr>
          <w:p w14:paraId="361318C0" w14:textId="77777777" w:rsidR="00760837" w:rsidRDefault="00000000">
            <w:pPr>
              <w:pStyle w:val="Default"/>
              <w:jc w:val="center"/>
              <w:rPr>
                <w:rFonts w:ascii="Palatino Linotype" w:hAnsi="Palatino Linotype"/>
                <w:color w:val="auto"/>
                <w:sz w:val="20"/>
                <w:szCs w:val="20"/>
              </w:rPr>
            </w:pPr>
            <w:r>
              <w:rPr>
                <w:rFonts w:ascii="Palatino Linotype" w:hAnsi="Palatino Linotype"/>
                <w:color w:val="auto"/>
                <w:sz w:val="20"/>
                <w:szCs w:val="20"/>
              </w:rPr>
              <w:t>0.90</w:t>
            </w:r>
          </w:p>
        </w:tc>
        <w:tc>
          <w:tcPr>
            <w:tcW w:w="62" w:type="dxa"/>
          </w:tcPr>
          <w:p w14:paraId="15A9410A" w14:textId="77777777" w:rsidR="00760837" w:rsidRDefault="00760837">
            <w:pPr>
              <w:spacing w:after="0" w:line="0" w:lineRule="atLeast"/>
              <w:rPr>
                <w:sz w:val="2"/>
              </w:rPr>
            </w:pPr>
          </w:p>
        </w:tc>
      </w:tr>
      <w:tr w:rsidR="00760837" w14:paraId="029F5079" w14:textId="77777777">
        <w:trPr>
          <w:trHeight w:val="567"/>
        </w:trPr>
        <w:tc>
          <w:tcPr>
            <w:tcW w:w="3538" w:type="dxa"/>
            <w:tcBorders>
              <w:top w:val="single" w:sz="4" w:space="0" w:color="000000"/>
              <w:left w:val="single" w:sz="4" w:space="0" w:color="000000"/>
              <w:bottom w:val="single" w:sz="4" w:space="0" w:color="000000"/>
              <w:right w:val="single" w:sz="4" w:space="0" w:color="000000"/>
            </w:tcBorders>
            <w:vAlign w:val="center"/>
          </w:tcPr>
          <w:p w14:paraId="01534C59"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deionized water</w:t>
            </w:r>
          </w:p>
        </w:tc>
        <w:tc>
          <w:tcPr>
            <w:tcW w:w="1086" w:type="dxa"/>
            <w:tcBorders>
              <w:top w:val="single" w:sz="4" w:space="0" w:color="000000"/>
              <w:left w:val="single" w:sz="4" w:space="0" w:color="000000"/>
              <w:bottom w:val="single" w:sz="4" w:space="0" w:color="000000"/>
              <w:right w:val="single" w:sz="4" w:space="0" w:color="000000"/>
            </w:tcBorders>
            <w:vAlign w:val="center"/>
          </w:tcPr>
          <w:p w14:paraId="73A49C84"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36.70</w:t>
            </w:r>
          </w:p>
        </w:tc>
        <w:tc>
          <w:tcPr>
            <w:tcW w:w="1048" w:type="dxa"/>
            <w:gridSpan w:val="2"/>
            <w:tcBorders>
              <w:top w:val="single" w:sz="4" w:space="0" w:color="000000"/>
              <w:left w:val="single" w:sz="4" w:space="0" w:color="000000"/>
              <w:bottom w:val="single" w:sz="4" w:space="0" w:color="000000"/>
              <w:right w:val="single" w:sz="4" w:space="0" w:color="000000"/>
            </w:tcBorders>
            <w:vAlign w:val="center"/>
          </w:tcPr>
          <w:p w14:paraId="0D1557E9"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37.00</w:t>
            </w:r>
          </w:p>
        </w:tc>
        <w:tc>
          <w:tcPr>
            <w:tcW w:w="1049" w:type="dxa"/>
            <w:tcBorders>
              <w:top w:val="single" w:sz="4" w:space="0" w:color="000000"/>
              <w:left w:val="single" w:sz="4" w:space="0" w:color="000000"/>
              <w:bottom w:val="single" w:sz="4" w:space="0" w:color="000000"/>
              <w:right w:val="single" w:sz="4" w:space="0" w:color="000000"/>
            </w:tcBorders>
            <w:vAlign w:val="center"/>
          </w:tcPr>
          <w:p w14:paraId="06DA5080"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35.70</w:t>
            </w:r>
          </w:p>
        </w:tc>
        <w:tc>
          <w:tcPr>
            <w:tcW w:w="1048" w:type="dxa"/>
            <w:tcBorders>
              <w:top w:val="single" w:sz="4" w:space="0" w:color="000000"/>
              <w:left w:val="single" w:sz="4" w:space="0" w:color="000000"/>
              <w:bottom w:val="single" w:sz="4" w:space="0" w:color="000000"/>
              <w:right w:val="single" w:sz="4" w:space="0" w:color="000000"/>
            </w:tcBorders>
            <w:vAlign w:val="center"/>
          </w:tcPr>
          <w:p w14:paraId="004F0397"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36.30</w:t>
            </w:r>
          </w:p>
        </w:tc>
        <w:tc>
          <w:tcPr>
            <w:tcW w:w="62" w:type="dxa"/>
          </w:tcPr>
          <w:p w14:paraId="72495719" w14:textId="77777777" w:rsidR="00760837" w:rsidRDefault="00760837">
            <w:pPr>
              <w:spacing w:after="0" w:line="0" w:lineRule="atLeast"/>
              <w:rPr>
                <w:sz w:val="2"/>
              </w:rPr>
            </w:pPr>
          </w:p>
        </w:tc>
      </w:tr>
      <w:tr w:rsidR="00760837" w14:paraId="3CC07E79" w14:textId="77777777">
        <w:trPr>
          <w:trHeight w:val="581"/>
        </w:trPr>
        <w:tc>
          <w:tcPr>
            <w:tcW w:w="5528"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DEF385"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 xml:space="preserve">INGREDIENTS </w:t>
            </w:r>
          </w:p>
        </w:tc>
        <w:tc>
          <w:tcPr>
            <w:tcW w:w="230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310CAF" w14:textId="77777777" w:rsidR="00760837" w:rsidRDefault="00000000">
            <w:pPr>
              <w:pStyle w:val="Default"/>
              <w:jc w:val="center"/>
              <w:rPr>
                <w:rFonts w:ascii="Palatino Linotype" w:hAnsi="Palatino Linotype"/>
                <w:b/>
                <w:bCs/>
                <w:sz w:val="20"/>
                <w:szCs w:val="20"/>
              </w:rPr>
            </w:pPr>
            <w:r>
              <w:rPr>
                <w:rFonts w:ascii="Palatino Linotype" w:hAnsi="Palatino Linotype"/>
                <w:b/>
                <w:bCs/>
                <w:sz w:val="20"/>
                <w:szCs w:val="20"/>
              </w:rPr>
              <w:t>G7</w:t>
            </w:r>
          </w:p>
        </w:tc>
      </w:tr>
      <w:tr w:rsidR="00760837" w14:paraId="4043316D" w14:textId="77777777">
        <w:trPr>
          <w:trHeight w:val="581"/>
        </w:trPr>
        <w:tc>
          <w:tcPr>
            <w:tcW w:w="5528" w:type="dxa"/>
            <w:gridSpan w:val="3"/>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C0CD2F" w14:textId="77777777" w:rsidR="00760837" w:rsidRDefault="00760837">
            <w:pPr>
              <w:pStyle w:val="Default"/>
              <w:jc w:val="center"/>
              <w:rPr>
                <w:rFonts w:ascii="Palatino Linotype" w:hAnsi="Palatino Linotype"/>
                <w:sz w:val="20"/>
                <w:szCs w:val="20"/>
              </w:rPr>
            </w:pPr>
          </w:p>
        </w:tc>
        <w:tc>
          <w:tcPr>
            <w:tcW w:w="230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6D1F"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 w/w)</w:t>
            </w:r>
          </w:p>
        </w:tc>
      </w:tr>
      <w:tr w:rsidR="00760837" w14:paraId="7280E8B7" w14:textId="77777777">
        <w:trPr>
          <w:trHeight w:val="581"/>
        </w:trPr>
        <w:tc>
          <w:tcPr>
            <w:tcW w:w="552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CC0367"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SCG (commercial solution at 22%)</w:t>
            </w:r>
          </w:p>
        </w:tc>
        <w:tc>
          <w:tcPr>
            <w:tcW w:w="230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AB7A54"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45.40</w:t>
            </w:r>
          </w:p>
        </w:tc>
      </w:tr>
      <w:tr w:rsidR="00760837" w14:paraId="382F46F0" w14:textId="77777777">
        <w:trPr>
          <w:trHeight w:val="581"/>
        </w:trPr>
        <w:tc>
          <w:tcPr>
            <w:tcW w:w="552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6CAC84"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CAPB (commercial solution at 30%)</w:t>
            </w:r>
          </w:p>
        </w:tc>
        <w:tc>
          <w:tcPr>
            <w:tcW w:w="230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231D7F"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15.00</w:t>
            </w:r>
          </w:p>
        </w:tc>
      </w:tr>
      <w:tr w:rsidR="00760837" w14:paraId="2C58F0F4" w14:textId="77777777">
        <w:trPr>
          <w:trHeight w:val="581"/>
        </w:trPr>
        <w:tc>
          <w:tcPr>
            <w:tcW w:w="552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C128B4"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benzylic alcohol</w:t>
            </w:r>
          </w:p>
        </w:tc>
        <w:tc>
          <w:tcPr>
            <w:tcW w:w="230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4327C0"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0.50</w:t>
            </w:r>
          </w:p>
        </w:tc>
      </w:tr>
      <w:tr w:rsidR="00760837" w14:paraId="278AFA68" w14:textId="77777777">
        <w:trPr>
          <w:trHeight w:val="581"/>
        </w:trPr>
        <w:tc>
          <w:tcPr>
            <w:tcW w:w="552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209263"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sodium benzoate</w:t>
            </w:r>
          </w:p>
        </w:tc>
        <w:tc>
          <w:tcPr>
            <w:tcW w:w="230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9CC052"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0.19</w:t>
            </w:r>
          </w:p>
        </w:tc>
      </w:tr>
      <w:tr w:rsidR="00760837" w14:paraId="320BB363" w14:textId="77777777">
        <w:trPr>
          <w:trHeight w:val="581"/>
        </w:trPr>
        <w:tc>
          <w:tcPr>
            <w:tcW w:w="552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B541D9"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lactic acid</w:t>
            </w:r>
          </w:p>
        </w:tc>
        <w:tc>
          <w:tcPr>
            <w:tcW w:w="230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ABE20B"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2.40</w:t>
            </w:r>
          </w:p>
        </w:tc>
      </w:tr>
      <w:tr w:rsidR="00760837" w14:paraId="189F41ED" w14:textId="77777777">
        <w:trPr>
          <w:trHeight w:val="581"/>
        </w:trPr>
        <w:tc>
          <w:tcPr>
            <w:tcW w:w="552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EDAC51"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deionized water</w:t>
            </w:r>
          </w:p>
        </w:tc>
        <w:tc>
          <w:tcPr>
            <w:tcW w:w="230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F8609E" w14:textId="77777777" w:rsidR="00760837" w:rsidRDefault="00000000">
            <w:pPr>
              <w:pStyle w:val="Default"/>
              <w:jc w:val="center"/>
              <w:rPr>
                <w:rFonts w:ascii="Palatino Linotype" w:hAnsi="Palatino Linotype"/>
                <w:sz w:val="20"/>
                <w:szCs w:val="20"/>
              </w:rPr>
            </w:pPr>
            <w:r>
              <w:rPr>
                <w:rFonts w:ascii="Palatino Linotype" w:hAnsi="Palatino Linotype"/>
                <w:sz w:val="20"/>
                <w:szCs w:val="20"/>
              </w:rPr>
              <w:t>36.51</w:t>
            </w:r>
          </w:p>
        </w:tc>
      </w:tr>
    </w:tbl>
    <w:p w14:paraId="30B0E13D" w14:textId="77777777" w:rsidR="00760837" w:rsidRDefault="00760837">
      <w:pPr>
        <w:jc w:val="both"/>
        <w:rPr>
          <w:color w:val="000000" w:themeColor="text1"/>
          <w:lang w:val="en-US"/>
        </w:rPr>
      </w:pPr>
    </w:p>
    <w:p w14:paraId="0CBDA739" w14:textId="77777777" w:rsidR="00760837" w:rsidRDefault="00760837">
      <w:pPr>
        <w:jc w:val="both"/>
        <w:rPr>
          <w:color w:val="000000" w:themeColor="text1"/>
          <w:lang w:val="en-US"/>
        </w:rPr>
      </w:pPr>
    </w:p>
    <w:tbl>
      <w:tblPr>
        <w:tblStyle w:val="TableGrid"/>
        <w:tblW w:w="7933" w:type="dxa"/>
        <w:tblLayout w:type="fixed"/>
        <w:tblLook w:val="04A0" w:firstRow="1" w:lastRow="0" w:firstColumn="1" w:lastColumn="0" w:noHBand="0" w:noVBand="1"/>
      </w:tblPr>
      <w:tblGrid>
        <w:gridCol w:w="4815"/>
        <w:gridCol w:w="3118"/>
      </w:tblGrid>
      <w:tr w:rsidR="00760837" w14:paraId="0A472D13" w14:textId="77777777">
        <w:trPr>
          <w:trHeight w:val="491"/>
        </w:trPr>
        <w:tc>
          <w:tcPr>
            <w:tcW w:w="4815" w:type="dxa"/>
            <w:vMerge w:val="restart"/>
            <w:vAlign w:val="center"/>
          </w:tcPr>
          <w:p w14:paraId="62C4E2D0" w14:textId="77777777" w:rsidR="00760837" w:rsidRDefault="00000000">
            <w:pPr>
              <w:spacing w:after="0" w:line="260" w:lineRule="atLeast"/>
              <w:jc w:val="center"/>
            </w:pPr>
            <w:r>
              <w:rPr>
                <w:rFonts w:ascii="Palatino Linotype" w:eastAsia="SimSun" w:hAnsi="Palatino Linotype" w:cs="Times New Roman"/>
                <w:color w:val="000000"/>
                <w:kern w:val="0"/>
                <w:sz w:val="20"/>
                <w:szCs w:val="20"/>
                <w:lang w:val="en-US" w:eastAsia="zh-CN"/>
              </w:rPr>
              <w:t>INGREDIENTS</w:t>
            </w:r>
          </w:p>
        </w:tc>
        <w:tc>
          <w:tcPr>
            <w:tcW w:w="3118" w:type="dxa"/>
            <w:vAlign w:val="center"/>
          </w:tcPr>
          <w:p w14:paraId="363E2CBD"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b/>
                <w:bCs/>
                <w:color w:val="000000"/>
                <w:kern w:val="0"/>
                <w:sz w:val="20"/>
                <w:szCs w:val="20"/>
                <w:lang w:val="en-US" w:eastAsia="zh-CN"/>
              </w:rPr>
              <w:t xml:space="preserve">G8 </w:t>
            </w:r>
          </w:p>
        </w:tc>
      </w:tr>
      <w:tr w:rsidR="00760837" w14:paraId="4BE42278" w14:textId="77777777">
        <w:trPr>
          <w:trHeight w:val="624"/>
        </w:trPr>
        <w:tc>
          <w:tcPr>
            <w:tcW w:w="4815" w:type="dxa"/>
            <w:vMerge/>
            <w:vAlign w:val="center"/>
          </w:tcPr>
          <w:p w14:paraId="6798E048" w14:textId="77777777" w:rsidR="00760837" w:rsidRDefault="00760837">
            <w:pPr>
              <w:spacing w:after="0" w:line="260" w:lineRule="atLeast"/>
              <w:jc w:val="center"/>
              <w:rPr>
                <w:rFonts w:ascii="Palatino Linotype" w:eastAsia="SimSun" w:hAnsi="Palatino Linotype" w:cs="Times New Roman" w:hint="eastAsia"/>
                <w:color w:val="000000"/>
                <w:kern w:val="0"/>
                <w:sz w:val="20"/>
                <w:szCs w:val="20"/>
                <w:lang w:val="en-US" w:eastAsia="zh-CN"/>
              </w:rPr>
            </w:pPr>
          </w:p>
        </w:tc>
        <w:tc>
          <w:tcPr>
            <w:tcW w:w="3118" w:type="dxa"/>
            <w:vAlign w:val="center"/>
          </w:tcPr>
          <w:p w14:paraId="6EE114B4" w14:textId="77777777" w:rsidR="00760837" w:rsidRDefault="00000000">
            <w:pPr>
              <w:spacing w:after="0" w:line="260" w:lineRule="atLeast"/>
              <w:jc w:val="center"/>
              <w:rPr>
                <w:b/>
                <w:bCs/>
              </w:rPr>
            </w:pPr>
            <w:r>
              <w:rPr>
                <w:rFonts w:ascii="Palatino Linotype" w:eastAsia="SimSun" w:hAnsi="Palatino Linotype" w:cs="Times New Roman"/>
                <w:color w:val="000000"/>
                <w:kern w:val="0"/>
                <w:sz w:val="20"/>
                <w:szCs w:val="20"/>
                <w:lang w:val="en-US" w:eastAsia="zh-CN"/>
              </w:rPr>
              <w:t>% w/w</w:t>
            </w:r>
          </w:p>
        </w:tc>
      </w:tr>
      <w:tr w:rsidR="00760837" w14:paraId="4A66300F" w14:textId="77777777">
        <w:trPr>
          <w:trHeight w:val="559"/>
        </w:trPr>
        <w:tc>
          <w:tcPr>
            <w:tcW w:w="4815" w:type="dxa"/>
            <w:vAlign w:val="center"/>
          </w:tcPr>
          <w:p w14:paraId="0A0B30C9"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SCG</w:t>
            </w:r>
          </w:p>
        </w:tc>
        <w:tc>
          <w:tcPr>
            <w:tcW w:w="3118" w:type="dxa"/>
            <w:vAlign w:val="center"/>
          </w:tcPr>
          <w:p w14:paraId="6A5B44AA"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45.50</w:t>
            </w:r>
          </w:p>
        </w:tc>
      </w:tr>
      <w:tr w:rsidR="00760837" w14:paraId="642F1715" w14:textId="77777777">
        <w:trPr>
          <w:trHeight w:val="559"/>
        </w:trPr>
        <w:tc>
          <w:tcPr>
            <w:tcW w:w="4815" w:type="dxa"/>
            <w:vAlign w:val="center"/>
          </w:tcPr>
          <w:p w14:paraId="4D4E846B"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CAPB</w:t>
            </w:r>
          </w:p>
        </w:tc>
        <w:tc>
          <w:tcPr>
            <w:tcW w:w="3118" w:type="dxa"/>
            <w:vAlign w:val="center"/>
          </w:tcPr>
          <w:p w14:paraId="583AD5F6"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15.00</w:t>
            </w:r>
          </w:p>
        </w:tc>
      </w:tr>
      <w:tr w:rsidR="00760837" w14:paraId="543869BE" w14:textId="77777777">
        <w:trPr>
          <w:trHeight w:val="559"/>
        </w:trPr>
        <w:tc>
          <w:tcPr>
            <w:tcW w:w="4815" w:type="dxa"/>
            <w:vAlign w:val="center"/>
          </w:tcPr>
          <w:p w14:paraId="7D955CDD"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lactic acid</w:t>
            </w:r>
          </w:p>
        </w:tc>
        <w:tc>
          <w:tcPr>
            <w:tcW w:w="3118" w:type="dxa"/>
            <w:vAlign w:val="center"/>
          </w:tcPr>
          <w:p w14:paraId="66187B20"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2.30</w:t>
            </w:r>
          </w:p>
        </w:tc>
      </w:tr>
      <w:tr w:rsidR="00760837" w14:paraId="5801D382" w14:textId="77777777">
        <w:trPr>
          <w:trHeight w:val="559"/>
        </w:trPr>
        <w:tc>
          <w:tcPr>
            <w:tcW w:w="4815" w:type="dxa"/>
            <w:vAlign w:val="center"/>
          </w:tcPr>
          <w:p w14:paraId="133D862D"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benzyl alcohol</w:t>
            </w:r>
          </w:p>
        </w:tc>
        <w:tc>
          <w:tcPr>
            <w:tcW w:w="3118" w:type="dxa"/>
            <w:vAlign w:val="center"/>
          </w:tcPr>
          <w:p w14:paraId="3A513242"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0.50</w:t>
            </w:r>
          </w:p>
        </w:tc>
      </w:tr>
      <w:tr w:rsidR="00760837" w14:paraId="6ACC23BB" w14:textId="77777777">
        <w:trPr>
          <w:trHeight w:val="559"/>
        </w:trPr>
        <w:tc>
          <w:tcPr>
            <w:tcW w:w="4815" w:type="dxa"/>
            <w:vAlign w:val="center"/>
          </w:tcPr>
          <w:p w14:paraId="591C11A5"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sodium benzoate</w:t>
            </w:r>
          </w:p>
        </w:tc>
        <w:tc>
          <w:tcPr>
            <w:tcW w:w="3118" w:type="dxa"/>
            <w:vAlign w:val="center"/>
          </w:tcPr>
          <w:p w14:paraId="24DDC49B"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0.19</w:t>
            </w:r>
          </w:p>
        </w:tc>
      </w:tr>
      <w:tr w:rsidR="00760837" w14:paraId="1489A264" w14:textId="77777777">
        <w:trPr>
          <w:trHeight w:val="559"/>
        </w:trPr>
        <w:tc>
          <w:tcPr>
            <w:tcW w:w="4815" w:type="dxa"/>
            <w:vAlign w:val="center"/>
          </w:tcPr>
          <w:p w14:paraId="3483AA54"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decyl glucoside</w:t>
            </w:r>
          </w:p>
          <w:p w14:paraId="3A2A39D9" w14:textId="77777777" w:rsidR="00760837" w:rsidRDefault="00760837">
            <w:pPr>
              <w:spacing w:after="0" w:line="260" w:lineRule="atLeast"/>
              <w:jc w:val="center"/>
              <w:rPr>
                <w:rFonts w:ascii="Palatino Linotype" w:eastAsia="SimSun" w:hAnsi="Palatino Linotype" w:cs="Times New Roman" w:hint="eastAsia"/>
                <w:color w:val="000000"/>
                <w:kern w:val="0"/>
                <w:sz w:val="20"/>
                <w:szCs w:val="20"/>
                <w:lang w:val="en-US" w:eastAsia="zh-CN"/>
              </w:rPr>
            </w:pPr>
          </w:p>
        </w:tc>
        <w:tc>
          <w:tcPr>
            <w:tcW w:w="3118" w:type="dxa"/>
            <w:vAlign w:val="center"/>
          </w:tcPr>
          <w:p w14:paraId="00FA11CD"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2.50</w:t>
            </w:r>
          </w:p>
        </w:tc>
      </w:tr>
      <w:tr w:rsidR="00760837" w14:paraId="037AC09B" w14:textId="77777777">
        <w:trPr>
          <w:trHeight w:val="559"/>
        </w:trPr>
        <w:tc>
          <w:tcPr>
            <w:tcW w:w="4815" w:type="dxa"/>
            <w:vAlign w:val="center"/>
          </w:tcPr>
          <w:p w14:paraId="7F27A3A7"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cetrimonium chloride</w:t>
            </w:r>
          </w:p>
          <w:p w14:paraId="2EBE3465" w14:textId="77777777" w:rsidR="00760837" w:rsidRDefault="00760837">
            <w:pPr>
              <w:spacing w:after="0" w:line="260" w:lineRule="atLeast"/>
              <w:jc w:val="center"/>
              <w:rPr>
                <w:rFonts w:ascii="Palatino Linotype" w:eastAsia="SimSun" w:hAnsi="Palatino Linotype" w:cs="Times New Roman" w:hint="eastAsia"/>
                <w:color w:val="000000"/>
                <w:kern w:val="0"/>
                <w:sz w:val="20"/>
                <w:szCs w:val="20"/>
                <w:lang w:val="en-US" w:eastAsia="zh-CN"/>
              </w:rPr>
            </w:pPr>
          </w:p>
        </w:tc>
        <w:tc>
          <w:tcPr>
            <w:tcW w:w="3118" w:type="dxa"/>
            <w:vAlign w:val="center"/>
          </w:tcPr>
          <w:p w14:paraId="51ECC628"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2.00</w:t>
            </w:r>
          </w:p>
        </w:tc>
      </w:tr>
      <w:tr w:rsidR="00760837" w14:paraId="48E633D8" w14:textId="77777777">
        <w:trPr>
          <w:trHeight w:val="559"/>
        </w:trPr>
        <w:tc>
          <w:tcPr>
            <w:tcW w:w="4815" w:type="dxa"/>
            <w:vAlign w:val="center"/>
          </w:tcPr>
          <w:p w14:paraId="173BA625"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fragrance</w:t>
            </w:r>
          </w:p>
        </w:tc>
        <w:tc>
          <w:tcPr>
            <w:tcW w:w="3118" w:type="dxa"/>
            <w:vAlign w:val="center"/>
          </w:tcPr>
          <w:p w14:paraId="666196E1"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0.60</w:t>
            </w:r>
          </w:p>
        </w:tc>
      </w:tr>
      <w:tr w:rsidR="00760837" w14:paraId="021ACBA2" w14:textId="77777777">
        <w:trPr>
          <w:trHeight w:val="559"/>
        </w:trPr>
        <w:tc>
          <w:tcPr>
            <w:tcW w:w="4815" w:type="dxa"/>
            <w:vAlign w:val="center"/>
          </w:tcPr>
          <w:p w14:paraId="425FB3D8"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water to 100</w:t>
            </w:r>
          </w:p>
        </w:tc>
        <w:tc>
          <w:tcPr>
            <w:tcW w:w="3118" w:type="dxa"/>
            <w:vAlign w:val="center"/>
          </w:tcPr>
          <w:p w14:paraId="6C833F28"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31.41</w:t>
            </w:r>
          </w:p>
        </w:tc>
      </w:tr>
      <w:tr w:rsidR="00760837" w14:paraId="72122F75" w14:textId="77777777">
        <w:trPr>
          <w:trHeight w:val="559"/>
        </w:trPr>
        <w:tc>
          <w:tcPr>
            <w:tcW w:w="4815" w:type="dxa"/>
            <w:vAlign w:val="center"/>
          </w:tcPr>
          <w:p w14:paraId="5902C11E"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TOT</w:t>
            </w:r>
          </w:p>
        </w:tc>
        <w:tc>
          <w:tcPr>
            <w:tcW w:w="3118" w:type="dxa"/>
            <w:vAlign w:val="center"/>
          </w:tcPr>
          <w:p w14:paraId="59B78FBD" w14:textId="77777777" w:rsidR="00760837" w:rsidRDefault="00000000">
            <w:pPr>
              <w:spacing w:after="0" w:line="260" w:lineRule="atLeast"/>
              <w:jc w:val="center"/>
              <w:rPr>
                <w:rFonts w:ascii="Palatino Linotype" w:eastAsia="SimSun" w:hAnsi="Palatino Linotype" w:cs="Times New Roman" w:hint="eastAsia"/>
                <w:color w:val="000000"/>
                <w:kern w:val="0"/>
                <w:sz w:val="20"/>
                <w:szCs w:val="20"/>
                <w:lang w:val="en-US" w:eastAsia="zh-CN"/>
              </w:rPr>
            </w:pPr>
            <w:r>
              <w:rPr>
                <w:rFonts w:ascii="Palatino Linotype" w:eastAsia="SimSun" w:hAnsi="Palatino Linotype" w:cs="Times New Roman"/>
                <w:color w:val="000000"/>
                <w:kern w:val="0"/>
                <w:sz w:val="20"/>
                <w:szCs w:val="20"/>
                <w:lang w:val="en-US" w:eastAsia="zh-CN"/>
              </w:rPr>
              <w:t>100.00</w:t>
            </w:r>
          </w:p>
        </w:tc>
      </w:tr>
    </w:tbl>
    <w:p w14:paraId="3EB387A0" w14:textId="77777777" w:rsidR="00760837" w:rsidRDefault="00760837">
      <w:pPr>
        <w:jc w:val="both"/>
        <w:rPr>
          <w:color w:val="000000" w:themeColor="text1"/>
          <w:lang w:val="en-US"/>
        </w:rPr>
      </w:pPr>
    </w:p>
    <w:p w14:paraId="0866E32A" w14:textId="77777777" w:rsidR="00760837" w:rsidRDefault="00000000">
      <w:pPr>
        <w:jc w:val="both"/>
        <w:rPr>
          <w:color w:val="000000" w:themeColor="text1"/>
          <w:lang w:val="en-US"/>
        </w:rPr>
      </w:pPr>
      <w:r>
        <w:rPr>
          <w:color w:val="000000" w:themeColor="text1"/>
          <w:lang w:val="en-US"/>
        </w:rPr>
        <w:lastRenderedPageBreak/>
        <w:t>In particular:</w:t>
      </w:r>
    </w:p>
    <w:p w14:paraId="6E257428" w14:textId="77777777" w:rsidR="00760837" w:rsidRDefault="00000000">
      <w:pPr>
        <w:numPr>
          <w:ilvl w:val="0"/>
          <w:numId w:val="1"/>
        </w:numPr>
        <w:jc w:val="both"/>
        <w:rPr>
          <w:lang w:val="en-US"/>
        </w:rPr>
      </w:pPr>
      <w:r>
        <w:rPr>
          <w:lang w:val="en-US"/>
        </w:rPr>
        <w:t xml:space="preserve">1 folder named </w:t>
      </w:r>
      <w:r>
        <w:rPr>
          <w:b/>
          <w:bCs/>
          <w:lang w:val="en-US"/>
        </w:rPr>
        <w:t>AMPLITUDE SWEEP</w:t>
      </w:r>
      <w:r>
        <w:rPr>
          <w:lang w:val="en-US"/>
        </w:rPr>
        <w:t xml:space="preserve"> that contains the Excel files corresponding to the amplitude sweep analyses of the gels G1 – G8.</w:t>
      </w:r>
    </w:p>
    <w:p w14:paraId="2DE621B0" w14:textId="77777777" w:rsidR="00760837" w:rsidRDefault="00000000">
      <w:pPr>
        <w:numPr>
          <w:ilvl w:val="0"/>
          <w:numId w:val="1"/>
        </w:numPr>
        <w:jc w:val="both"/>
        <w:rPr>
          <w:lang w:val="en-US"/>
        </w:rPr>
      </w:pPr>
      <w:r>
        <w:rPr>
          <w:lang w:val="en-US"/>
        </w:rPr>
        <w:t xml:space="preserve">1 folder named </w:t>
      </w:r>
      <w:r>
        <w:rPr>
          <w:b/>
          <w:bCs/>
          <w:lang w:val="en-US"/>
        </w:rPr>
        <w:t>FREQUENCY SWEEP</w:t>
      </w:r>
      <w:r>
        <w:rPr>
          <w:lang w:val="en-US"/>
        </w:rPr>
        <w:t xml:space="preserve"> contains the Excel files corresponding to the Frequency sweep analyses of the gels G1 – G8. </w:t>
      </w:r>
    </w:p>
    <w:p w14:paraId="70A719DA" w14:textId="77777777" w:rsidR="00760837" w:rsidRDefault="00000000">
      <w:pPr>
        <w:numPr>
          <w:ilvl w:val="0"/>
          <w:numId w:val="1"/>
        </w:numPr>
        <w:jc w:val="both"/>
        <w:rPr>
          <w:lang w:val="en-US"/>
        </w:rPr>
      </w:pPr>
      <w:r>
        <w:rPr>
          <w:lang w:val="en-US"/>
        </w:rPr>
        <w:t xml:space="preserve">1 folder named </w:t>
      </w:r>
      <w:r>
        <w:rPr>
          <w:b/>
          <w:bCs/>
          <w:lang w:val="en-US"/>
        </w:rPr>
        <w:t>Temperature Sweep</w:t>
      </w:r>
      <w:r>
        <w:rPr>
          <w:lang w:val="en-US"/>
        </w:rPr>
        <w:t xml:space="preserve"> contains the Excel files corresponding to the temperature sweep analyses of gels G1 and G2.</w:t>
      </w:r>
    </w:p>
    <w:p w14:paraId="5597B3E2" w14:textId="77777777" w:rsidR="00760837" w:rsidRDefault="00000000">
      <w:pPr>
        <w:numPr>
          <w:ilvl w:val="0"/>
          <w:numId w:val="1"/>
        </w:numPr>
        <w:jc w:val="both"/>
        <w:rPr>
          <w:lang w:val="en-US"/>
        </w:rPr>
      </w:pPr>
      <w:r>
        <w:rPr>
          <w:lang w:val="en-US"/>
        </w:rPr>
        <w:t xml:space="preserve">1 folder named </w:t>
      </w:r>
      <w:r>
        <w:rPr>
          <w:b/>
          <w:bCs/>
          <w:lang w:val="en-US"/>
        </w:rPr>
        <w:t>VISCOSITY</w:t>
      </w:r>
      <w:r>
        <w:rPr>
          <w:lang w:val="en-US"/>
        </w:rPr>
        <w:t xml:space="preserve"> contains the Excel files corresponding to the viscosity curves of gels G1 – G8.</w:t>
      </w:r>
    </w:p>
    <w:p w14:paraId="37DCD053" w14:textId="77777777" w:rsidR="00760837" w:rsidRDefault="00000000">
      <w:pPr>
        <w:numPr>
          <w:ilvl w:val="0"/>
          <w:numId w:val="1"/>
        </w:numPr>
        <w:jc w:val="both"/>
        <w:rPr>
          <w:lang w:val="en-US"/>
        </w:rPr>
      </w:pPr>
      <w:r>
        <w:rPr>
          <w:lang w:val="en-US"/>
        </w:rPr>
        <w:t>1 folder named</w:t>
      </w:r>
      <w:r>
        <w:rPr>
          <w:b/>
          <w:bCs/>
          <w:lang w:val="en-US"/>
        </w:rPr>
        <w:t xml:space="preserve"> pKa </w:t>
      </w:r>
      <w:r>
        <w:rPr>
          <w:lang w:val="en-US"/>
        </w:rPr>
        <w:t>contains the Excel files corresponding to the titration of a 10% solution of SCG (sodium cocoyl glycinate) and SCA (sodium cocoyl alaninate) with HCl. The measurements are performed in triplicate (1, 2 and 3), with the calculation of mean and standard deviation.</w:t>
      </w:r>
    </w:p>
    <w:p w14:paraId="2D30D738" w14:textId="77777777" w:rsidR="00760837" w:rsidRDefault="00000000">
      <w:pPr>
        <w:jc w:val="both"/>
        <w:rPr>
          <w:lang w:val="en-US"/>
        </w:rPr>
      </w:pPr>
      <w:r>
        <w:rPr>
          <w:lang w:val="en-US"/>
        </w:rPr>
        <w:t>The dataset folder is organized as follows:</w:t>
      </w:r>
    </w:p>
    <w:p w14:paraId="45BD5BBB"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20260626_SupramolecularShampooGel/</w:t>
      </w:r>
    </w:p>
    <w:p w14:paraId="0C74ED5A"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20260626_SupramolecularShampooGel_Readme.docx</w:t>
      </w:r>
    </w:p>
    <w:p w14:paraId="7CC2560E"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AMPLITUDE_SWEEP</w:t>
      </w:r>
    </w:p>
    <w:p w14:paraId="466C586A"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AS_G1.csv</w:t>
      </w:r>
    </w:p>
    <w:p w14:paraId="4588A1C4"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AS_G2.csv</w:t>
      </w:r>
    </w:p>
    <w:p w14:paraId="25B2AC14"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AS_G3.csv</w:t>
      </w:r>
    </w:p>
    <w:p w14:paraId="528046DE"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AS_G4.csv</w:t>
      </w:r>
    </w:p>
    <w:p w14:paraId="1E2B970E"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AS_G5.csv</w:t>
      </w:r>
    </w:p>
    <w:p w14:paraId="094EB6DA"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AS_G6.csv</w:t>
      </w:r>
    </w:p>
    <w:p w14:paraId="2BC9769A"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AS_G7.csv</w:t>
      </w:r>
    </w:p>
    <w:p w14:paraId="6AD7CEA1"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AS_G8_3months_45C.csv</w:t>
      </w:r>
    </w:p>
    <w:p w14:paraId="741EEAC6"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AS_G8_3months_freeze_thaw.csv</w:t>
      </w:r>
    </w:p>
    <w:p w14:paraId="6121AA89"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AS_G8_3months_RT.csv</w:t>
      </w:r>
    </w:p>
    <w:p w14:paraId="6398264E"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AS_G8_T0.csv</w:t>
      </w:r>
    </w:p>
    <w:p w14:paraId="5F0264B0"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FREQUENCY_SWEEP</w:t>
      </w:r>
    </w:p>
    <w:p w14:paraId="79DD926B"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FS_G1.csv</w:t>
      </w:r>
    </w:p>
    <w:p w14:paraId="444714F2"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FS_G2.csv</w:t>
      </w:r>
    </w:p>
    <w:p w14:paraId="75FB6E57"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FS_G3.csv</w:t>
      </w:r>
    </w:p>
    <w:p w14:paraId="49C4E50F"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FS_G4.csv</w:t>
      </w:r>
    </w:p>
    <w:p w14:paraId="21944831"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FS_G5.csv</w:t>
      </w:r>
    </w:p>
    <w:p w14:paraId="50A24E2D"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FS_G6.csv</w:t>
      </w:r>
    </w:p>
    <w:p w14:paraId="7D9DEE09"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FS_G7.csv</w:t>
      </w:r>
    </w:p>
    <w:p w14:paraId="2EC1B95F"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FS_G8.csv</w:t>
      </w:r>
    </w:p>
    <w:p w14:paraId="58F12CC7"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pKa</w:t>
      </w:r>
    </w:p>
    <w:p w14:paraId="374FC222"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pKA_SCA.xlsx</w:t>
      </w:r>
    </w:p>
    <w:p w14:paraId="09D76527"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pKa_SCG.xlsx</w:t>
      </w:r>
    </w:p>
    <w:p w14:paraId="275031A2"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TEMPERATURE_SWEEP</w:t>
      </w:r>
    </w:p>
    <w:p w14:paraId="4A8CCAA0"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Temperature_Sweep_G1.csv</w:t>
      </w:r>
    </w:p>
    <w:p w14:paraId="16462D80"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 Temperature_Sweep_G2.csv</w:t>
      </w:r>
    </w:p>
    <w:p w14:paraId="1D4C4505"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VISCOSITY</w:t>
      </w:r>
    </w:p>
    <w:p w14:paraId="1200892A"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xml:space="preserve">    ├── CSR_G1.csv</w:t>
      </w:r>
    </w:p>
    <w:p w14:paraId="399ADA83"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xml:space="preserve">    ├── CSR_G2.csv</w:t>
      </w:r>
    </w:p>
    <w:p w14:paraId="04BDADA8"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xml:space="preserve">    ├── CSR_G3.csv</w:t>
      </w:r>
    </w:p>
    <w:p w14:paraId="7BBBC63E"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xml:space="preserve">    ├── CSR_G4.csv</w:t>
      </w:r>
    </w:p>
    <w:p w14:paraId="6DB12BE9"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xml:space="preserve">    ├── CSR_G5.csv</w:t>
      </w:r>
    </w:p>
    <w:p w14:paraId="40EE7F5B"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lastRenderedPageBreak/>
        <w:t xml:space="preserve">    ├── CSR_G6.csv</w:t>
      </w:r>
    </w:p>
    <w:p w14:paraId="1898ADB0"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xml:space="preserve">    ├── CSR_G7.csv</w:t>
      </w:r>
    </w:p>
    <w:p w14:paraId="344BF46E"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xml:space="preserve">    ├── CSR_G8_3months_45C.csv</w:t>
      </w:r>
    </w:p>
    <w:p w14:paraId="60ED0257"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xml:space="preserve">    ├── CSR_G8_3months_freeze_thaw.csv</w:t>
      </w:r>
    </w:p>
    <w:p w14:paraId="7F7FB066"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xml:space="preserve">    ├── CSR_G8_3months_rt.csv</w:t>
      </w:r>
    </w:p>
    <w:p w14:paraId="609F2F5D" w14:textId="77777777" w:rsidR="00760837" w:rsidRDefault="00000000">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r>
        <w:rPr>
          <w:rFonts w:ascii="Consolas" w:eastAsia="Times New Roman" w:hAnsi="Consolas" w:cs="Times New Roman"/>
          <w:color w:val="000000"/>
          <w:kern w:val="0"/>
          <w:sz w:val="20"/>
          <w:szCs w:val="20"/>
          <w:lang w:val="en-US" w:eastAsia="it-IT"/>
          <w14:ligatures w14:val="none"/>
        </w:rPr>
        <w:t xml:space="preserve">    └── CSR_G8_T0.csv</w:t>
      </w:r>
    </w:p>
    <w:p w14:paraId="55E8FBCB" w14:textId="77777777" w:rsidR="00760837" w:rsidRDefault="00760837">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p>
    <w:p w14:paraId="661081FF" w14:textId="77777777" w:rsidR="00760837" w:rsidRDefault="00760837">
      <w:pPr>
        <w:shd w:val="clear" w:color="auto" w:fill="FFFFFF"/>
        <w:spacing w:after="0" w:line="240" w:lineRule="auto"/>
        <w:textAlignment w:val="baseline"/>
        <w:rPr>
          <w:rFonts w:ascii="Consolas" w:eastAsia="Times New Roman" w:hAnsi="Consolas" w:cs="Times New Roman"/>
          <w:color w:val="000000"/>
          <w:kern w:val="0"/>
          <w:sz w:val="20"/>
          <w:szCs w:val="20"/>
          <w:lang w:val="en-US" w:eastAsia="it-IT"/>
          <w14:ligatures w14:val="none"/>
        </w:rPr>
      </w:pPr>
    </w:p>
    <w:p w14:paraId="2257F904" w14:textId="77777777" w:rsidR="00760837" w:rsidRDefault="00000000">
      <w:pPr>
        <w:jc w:val="both"/>
        <w:rPr>
          <w:i/>
          <w:iCs/>
          <w:color w:val="215E99" w:themeColor="text2" w:themeTint="BF"/>
          <w:lang w:val="en-US"/>
        </w:rPr>
      </w:pPr>
      <w:r>
        <w:rPr>
          <w:i/>
          <w:iCs/>
          <w:color w:val="215E99" w:themeColor="text2" w:themeTint="BF"/>
          <w:lang w:val="en-US"/>
        </w:rPr>
        <w:t>Methodologies</w:t>
      </w:r>
    </w:p>
    <w:p w14:paraId="23F8DF14" w14:textId="77777777" w:rsidR="00760837" w:rsidRDefault="00000000">
      <w:pPr>
        <w:spacing w:line="360" w:lineRule="auto"/>
        <w:jc w:val="both"/>
        <w:rPr>
          <w:rFonts w:asciiTheme="majorHAnsi" w:hAnsiTheme="majorHAnsi"/>
          <w:color w:val="000000" w:themeColor="text1"/>
          <w:lang w:val="en-US"/>
        </w:rPr>
      </w:pPr>
      <w:r>
        <w:rPr>
          <w:rFonts w:asciiTheme="majorHAnsi" w:hAnsiTheme="majorHAnsi"/>
          <w:color w:val="000000" w:themeColor="text1"/>
          <w:lang w:val="en-US"/>
        </w:rPr>
        <w:t xml:space="preserve">The </w:t>
      </w:r>
      <w:r>
        <w:rPr>
          <w:rFonts w:asciiTheme="majorHAnsi" w:hAnsiTheme="majorHAnsi"/>
          <w:b/>
          <w:bCs/>
          <w:color w:val="000000" w:themeColor="text1"/>
          <w:lang w:val="en-US"/>
        </w:rPr>
        <w:t>rheological analyses</w:t>
      </w:r>
      <w:r>
        <w:rPr>
          <w:rFonts w:asciiTheme="majorHAnsi" w:hAnsiTheme="majorHAnsi"/>
          <w:color w:val="000000" w:themeColor="text1"/>
          <w:lang w:val="en-US"/>
        </w:rPr>
        <w:t xml:space="preserve"> were performed using an Anton Paar (Graz, Austria) MCR 92 rheometer. Rotational control shear rate analyses were performed at 23 °C collecting 37 data points at shear rate (%) between 0.001 and 1000 to evaluate the viscosity profile using a cone (d = 50 mm)/plane measuring system was used, with a gap of 0.098 mm. Oscillatory amplitude sweep experiments were performed at 25 °C using a Peltier control system and plate/plate geometry (shaft PP25/P2). Data points were collected (γ: 0.01–100%) using a constant angular frequency of 1 Hz. Temperature Sweeps were performed to predict products stability toward temperature cycles. The tests were carried out using the shaft PP25/P2 and were performed between 23 and 55 °C collecting 64 data points, one every 0.51 min. During the analysis, the frequency of 1 Hz was kept constant as well as the shear strain that was selected, from time to time, in the linear viscoelastic range of the sample. The analysis was then repeated on the same sample from 55 to 23 °C.</w:t>
      </w:r>
    </w:p>
    <w:p w14:paraId="1D92C6D4" w14:textId="77777777" w:rsidR="00760837" w:rsidRDefault="00000000">
      <w:pPr>
        <w:spacing w:line="360" w:lineRule="auto"/>
        <w:jc w:val="both"/>
        <w:rPr>
          <w:rFonts w:asciiTheme="majorHAnsi" w:hAnsiTheme="majorHAnsi"/>
          <w:color w:val="000000" w:themeColor="text1"/>
          <w:lang w:val="en-US"/>
        </w:rPr>
      </w:pPr>
      <w:r>
        <w:rPr>
          <w:rFonts w:asciiTheme="majorHAnsi" w:hAnsiTheme="majorHAnsi"/>
          <w:color w:val="000000" w:themeColor="text1"/>
          <w:lang w:val="en-US"/>
        </w:rPr>
        <w:t xml:space="preserve">Detailed procedures for the preparation of each formulation were reported in the manuscript this dataset refers to (see “References” section). </w:t>
      </w:r>
    </w:p>
    <w:p w14:paraId="22E26E36" w14:textId="77777777" w:rsidR="00760837" w:rsidRDefault="00760837">
      <w:pPr>
        <w:spacing w:line="360" w:lineRule="auto"/>
        <w:jc w:val="both"/>
        <w:rPr>
          <w:rFonts w:asciiTheme="majorHAnsi" w:hAnsiTheme="majorHAnsi"/>
          <w:color w:val="000000" w:themeColor="text1"/>
          <w:lang w:val="en-US"/>
        </w:rPr>
      </w:pPr>
    </w:p>
    <w:p w14:paraId="63AAD41F" w14:textId="77777777" w:rsidR="00760837" w:rsidRDefault="00000000">
      <w:pPr>
        <w:spacing w:line="360" w:lineRule="auto"/>
        <w:jc w:val="both"/>
        <w:rPr>
          <w:rFonts w:asciiTheme="majorHAnsi" w:hAnsiTheme="majorHAnsi"/>
          <w:color w:val="000000" w:themeColor="text1"/>
          <w:lang w:val="en-US"/>
        </w:rPr>
      </w:pPr>
      <w:r>
        <w:rPr>
          <w:rFonts w:asciiTheme="majorHAnsi" w:hAnsiTheme="majorHAnsi"/>
          <w:b/>
          <w:bCs/>
          <w:color w:val="000000" w:themeColor="text1"/>
          <w:lang w:val="en-US"/>
        </w:rPr>
        <w:t>Methodology for the determination of the apparent pKa.</w:t>
      </w:r>
      <w:r>
        <w:rPr>
          <w:rFonts w:asciiTheme="majorHAnsi" w:hAnsiTheme="majorHAnsi"/>
          <w:b/>
          <w:bCs/>
          <w:color w:val="000000" w:themeColor="text1"/>
          <w:lang w:val="en-US"/>
        </w:rPr>
        <w:tab/>
      </w:r>
      <w:r>
        <w:rPr>
          <w:rFonts w:asciiTheme="majorHAnsi" w:hAnsiTheme="majorHAnsi"/>
          <w:color w:val="000000" w:themeColor="text1"/>
          <w:lang w:val="en-US"/>
        </w:rPr>
        <w:br/>
        <w:t>A XS pH70 Vio Portable pHmeter (XS Instruments, Carpi (MO), Italy) with a 2-pore steel T electrode was em-ployed for all pH measurements. The stated accuracy of the pH measurements is ± 0.1. The pH meter was calibrated before each experiment to check the response of the elec-trode. Depending on the desired concentration, considering a total volume of 2.5 mL for each sample, the required amount of gelator was suspended in Milli-Q® H2O and the pH was increased to 10.2 by adding NaOH 1 M. The samples were stirred to fully dissolve the gelator. The pKa values of gelator solutions were determined by titration via the addition of aliquots of a 1.0 M HCl (VWR Chemical, Milan, Italy) solution in triplicate. pH values were recorded until they reached a stable value after each addition during the titration process. Due to the strong and constant agitation applied, samples were always liquid during the titration experiments.</w:t>
      </w:r>
    </w:p>
    <w:p w14:paraId="2B98A68B" w14:textId="77777777" w:rsidR="00760837" w:rsidRDefault="00760837">
      <w:pPr>
        <w:rPr>
          <w:rFonts w:asciiTheme="majorHAnsi" w:hAnsiTheme="majorHAnsi"/>
          <w:i/>
          <w:iCs/>
          <w:color w:val="215E99" w:themeColor="text2" w:themeTint="BF"/>
          <w:sz w:val="28"/>
          <w:szCs w:val="28"/>
          <w:lang w:val="en-US"/>
        </w:rPr>
      </w:pPr>
    </w:p>
    <w:p w14:paraId="1A39F0F3" w14:textId="77777777" w:rsidR="00760837" w:rsidRDefault="00000000">
      <w:pPr>
        <w:rPr>
          <w:lang w:val="en-US"/>
        </w:rPr>
      </w:pPr>
      <w:r>
        <w:rPr>
          <w:rFonts w:asciiTheme="majorHAnsi" w:hAnsiTheme="majorHAnsi"/>
          <w:i/>
          <w:iCs/>
          <w:color w:val="215E99" w:themeColor="text2" w:themeTint="BF"/>
          <w:sz w:val="28"/>
          <w:szCs w:val="28"/>
          <w:lang w:val="en-US"/>
        </w:rPr>
        <w:t>References</w:t>
      </w:r>
      <w:r>
        <w:rPr>
          <w:rFonts w:asciiTheme="majorHAnsi" w:hAnsiTheme="majorHAnsi"/>
          <w:i/>
          <w:iCs/>
          <w:color w:val="215E99" w:themeColor="text2" w:themeTint="BF"/>
          <w:sz w:val="28"/>
          <w:szCs w:val="28"/>
          <w:highlight w:val="yellow"/>
          <w:lang w:val="en-US"/>
        </w:rPr>
        <w:br/>
      </w:r>
      <w:r>
        <w:rPr>
          <w:lang w:val="en-US"/>
        </w:rPr>
        <w:t>S. Chinelli, R. Stile, D. Giuri, C. Tomasini,</w:t>
      </w:r>
      <w:r>
        <w:rPr>
          <w:b/>
          <w:bCs/>
          <w:i/>
          <w:iCs/>
          <w:vertAlign w:val="superscript"/>
          <w:lang w:val="en-US"/>
        </w:rPr>
        <w:t xml:space="preserve"> </w:t>
      </w:r>
      <w:r>
        <w:rPr>
          <w:b/>
          <w:bCs/>
          <w:lang w:val="en-US"/>
        </w:rPr>
        <w:t xml:space="preserve"> </w:t>
      </w:r>
      <w:r>
        <w:rPr>
          <w:i/>
          <w:iCs/>
          <w:lang w:val="en-US"/>
        </w:rPr>
        <w:t xml:space="preserve">From Fundamental Self-Assembly Studies to Applications in Everyday Life: the Formation of a Supramolecular Shampoo, </w:t>
      </w:r>
      <w:r>
        <w:rPr>
          <w:lang w:val="en-US"/>
        </w:rPr>
        <w:t>Gels</w:t>
      </w:r>
      <w:r>
        <w:rPr>
          <w:b/>
          <w:bCs/>
          <w:i/>
          <w:iCs/>
          <w:lang w:val="en-US"/>
        </w:rPr>
        <w:t xml:space="preserve"> 2026, </w:t>
      </w:r>
      <w:hyperlink r:id="rId8">
        <w:r>
          <w:rPr>
            <w:rStyle w:val="Hyperlink"/>
            <w:i/>
            <w:iCs/>
            <w:lang w:val="en-US"/>
          </w:rPr>
          <w:t>https://doi.org/10.3390/gels12070589</w:t>
        </w:r>
      </w:hyperlink>
      <w:r>
        <w:rPr>
          <w:i/>
          <w:iCs/>
          <w:lang w:val="en-US"/>
        </w:rPr>
        <w:t xml:space="preserve"> </w:t>
      </w:r>
    </w:p>
    <w:p w14:paraId="3BDD5492" w14:textId="77777777" w:rsidR="00760837" w:rsidRDefault="00760837">
      <w:pPr>
        <w:rPr>
          <w:lang w:val="en-US"/>
        </w:rPr>
      </w:pPr>
    </w:p>
    <w:p w14:paraId="35024B04" w14:textId="77777777" w:rsidR="00760837" w:rsidRDefault="00000000">
      <w:pPr>
        <w:rPr>
          <w:rFonts w:asciiTheme="majorHAnsi" w:hAnsiTheme="majorHAnsi"/>
          <w:b/>
          <w:bCs/>
          <w:i/>
          <w:iCs/>
          <w:color w:val="215E99" w:themeColor="text2" w:themeTint="BF"/>
          <w:sz w:val="28"/>
          <w:szCs w:val="28"/>
          <w:lang w:val="en-US"/>
        </w:rPr>
      </w:pPr>
      <w:r>
        <w:rPr>
          <w:rFonts w:asciiTheme="majorHAnsi" w:hAnsiTheme="majorHAnsi"/>
          <w:b/>
          <w:bCs/>
          <w:i/>
          <w:iCs/>
          <w:color w:val="215E99" w:themeColor="text2" w:themeTint="BF"/>
          <w:sz w:val="28"/>
          <w:szCs w:val="28"/>
          <w:lang w:val="en-US"/>
        </w:rPr>
        <w:t>FUNDINGS:</w:t>
      </w:r>
    </w:p>
    <w:p w14:paraId="3404BA76" w14:textId="6247E834" w:rsidR="00760837" w:rsidRDefault="00000000">
      <w:pPr>
        <w:rPr>
          <w:lang w:val="en-US"/>
        </w:rPr>
      </w:pPr>
      <w:r>
        <w:rPr>
          <w:lang w:val="en-US"/>
        </w:rPr>
        <w:t>Sofia Chinelli thanks the Doctoral Scholarship financed by European Union—Next Generation EU (PNRR) funding</w:t>
      </w:r>
      <w:r w:rsidR="002A04A7">
        <w:rPr>
          <w:lang w:val="en-US"/>
        </w:rPr>
        <w:t xml:space="preserve"> (CUP </w:t>
      </w:r>
      <w:r w:rsidR="002A04A7" w:rsidRPr="002A04A7">
        <w:rPr>
          <w:lang w:val="en-US"/>
        </w:rPr>
        <w:t>J33C22001380009</w:t>
      </w:r>
      <w:r w:rsidR="002A04A7">
        <w:rPr>
          <w:lang w:val="en-US"/>
        </w:rPr>
        <w:t>)</w:t>
      </w:r>
      <w:r>
        <w:rPr>
          <w:lang w:val="en-US"/>
        </w:rPr>
        <w:t xml:space="preserve"> pursuant to Ministerial Decree no. 352/2022, Mission 4, component 2 “From Research to Business”—Investment 3.3 “Introduction of innovative doctorates that meet the innovation needs of companies and promote the recruitment of researchers from companies”.</w:t>
      </w:r>
    </w:p>
    <w:p w14:paraId="34720AD3" w14:textId="2ABE78C1" w:rsidR="00760837" w:rsidRDefault="00000000">
      <w:pPr>
        <w:rPr>
          <w:lang w:val="en-US"/>
        </w:rPr>
      </w:pPr>
      <w:r>
        <w:rPr>
          <w:lang w:val="en-US"/>
        </w:rPr>
        <w:t>Roberta Stile thanks Doctoral Scholarship financed by European Union—Next Generation EU (PNRR) funding</w:t>
      </w:r>
      <w:r w:rsidR="002A04A7">
        <w:rPr>
          <w:lang w:val="en-US"/>
        </w:rPr>
        <w:t xml:space="preserve"> (CUP </w:t>
      </w:r>
      <w:r w:rsidR="002A04A7" w:rsidRPr="002A04A7">
        <w:rPr>
          <w:lang w:val="en-US"/>
        </w:rPr>
        <w:t>J33C24001450009</w:t>
      </w:r>
      <w:r w:rsidR="002A04A7">
        <w:rPr>
          <w:lang w:val="en-US"/>
        </w:rPr>
        <w:t>)</w:t>
      </w:r>
      <w:r>
        <w:rPr>
          <w:lang w:val="en-US"/>
        </w:rPr>
        <w:t xml:space="preserve"> pursuant to Ministerial Decree no. 630/2024, Mission 4, component 2 “From Research to Business”—Investment 3.3 “Introduction of innovative doctorates that meet the in-novation needs of companies and promote the recruitment of researchers from companies".</w:t>
      </w:r>
    </w:p>
    <w:p w14:paraId="1615FED9" w14:textId="77777777" w:rsidR="00760837" w:rsidRDefault="00760837">
      <w:pPr>
        <w:rPr>
          <w:lang w:val="en-US"/>
        </w:rPr>
      </w:pPr>
    </w:p>
    <w:p w14:paraId="64DE752A" w14:textId="77777777" w:rsidR="00760837" w:rsidRDefault="00760837">
      <w:pPr>
        <w:spacing w:line="360" w:lineRule="auto"/>
        <w:jc w:val="both"/>
        <w:rPr>
          <w:rFonts w:asciiTheme="majorHAnsi" w:hAnsiTheme="majorHAnsi"/>
          <w:color w:val="215E99" w:themeColor="text2" w:themeTint="BF"/>
          <w:sz w:val="28"/>
          <w:szCs w:val="28"/>
          <w:lang w:val="en-US"/>
        </w:rPr>
      </w:pPr>
    </w:p>
    <w:sectPr w:rsidR="00760837">
      <w:pgSz w:w="11906" w:h="16838"/>
      <w:pgMar w:top="1417" w:right="1134" w:bottom="1134" w:left="1134"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557C5"/>
    <w:multiLevelType w:val="multilevel"/>
    <w:tmpl w:val="DAA0C0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4B7F04"/>
    <w:multiLevelType w:val="multilevel"/>
    <w:tmpl w:val="C82027FA"/>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17336E3"/>
    <w:multiLevelType w:val="multilevel"/>
    <w:tmpl w:val="CC7C4E86"/>
    <w:lvl w:ilvl="0">
      <w:start w:val="3"/>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07748651">
    <w:abstractNumId w:val="1"/>
  </w:num>
  <w:num w:numId="2" w16cid:durableId="1080560862">
    <w:abstractNumId w:val="2"/>
  </w:num>
  <w:num w:numId="3" w16cid:durableId="2145271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837"/>
    <w:rsid w:val="00104814"/>
    <w:rsid w:val="002A04A7"/>
    <w:rsid w:val="0076083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4932E"/>
  <w15:docId w15:val="{F2EA31A1-90B1-45DF-976D-0C50457DF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style>
  <w:style w:type="paragraph" w:styleId="Heading1">
    <w:name w:val="heading 1"/>
    <w:basedOn w:val="Normal"/>
    <w:next w:val="Normal"/>
    <w:link w:val="Heading1Char"/>
    <w:uiPriority w:val="9"/>
    <w:qFormat/>
    <w:rsid w:val="005358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358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58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58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58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58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58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58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58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53585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sid w:val="0053585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53585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53585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53585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5358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5358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5358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53585C"/>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53585C"/>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53585C"/>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53585C"/>
    <w:rPr>
      <w:i/>
      <w:iCs/>
      <w:color w:val="404040" w:themeColor="text1" w:themeTint="BF"/>
    </w:rPr>
  </w:style>
  <w:style w:type="character" w:styleId="IntenseEmphasis">
    <w:name w:val="Intense Emphasis"/>
    <w:basedOn w:val="DefaultParagraphFont"/>
    <w:uiPriority w:val="21"/>
    <w:qFormat/>
    <w:rsid w:val="0053585C"/>
    <w:rPr>
      <w:i/>
      <w:iCs/>
      <w:color w:val="0F4761" w:themeColor="accent1" w:themeShade="BF"/>
    </w:rPr>
  </w:style>
  <w:style w:type="character" w:customStyle="1" w:styleId="IntenseQuoteChar">
    <w:name w:val="Intense Quote Char"/>
    <w:basedOn w:val="DefaultParagraphFont"/>
    <w:link w:val="IntenseQuote"/>
    <w:uiPriority w:val="30"/>
    <w:qFormat/>
    <w:rsid w:val="0053585C"/>
    <w:rPr>
      <w:i/>
      <w:iCs/>
      <w:color w:val="0F4761" w:themeColor="accent1" w:themeShade="BF"/>
    </w:rPr>
  </w:style>
  <w:style w:type="character" w:styleId="IntenseReference">
    <w:name w:val="Intense Reference"/>
    <w:basedOn w:val="DefaultParagraphFont"/>
    <w:uiPriority w:val="32"/>
    <w:qFormat/>
    <w:rsid w:val="0053585C"/>
    <w:rPr>
      <w:b/>
      <w:bCs/>
      <w:smallCaps/>
      <w:color w:val="0F4761" w:themeColor="accent1" w:themeShade="BF"/>
      <w:spacing w:val="5"/>
    </w:rPr>
  </w:style>
  <w:style w:type="character" w:styleId="CommentReference">
    <w:name w:val="annotation reference"/>
    <w:basedOn w:val="DefaultParagraphFont"/>
    <w:uiPriority w:val="99"/>
    <w:semiHidden/>
    <w:unhideWhenUsed/>
    <w:qFormat/>
    <w:rsid w:val="00315969"/>
    <w:rPr>
      <w:sz w:val="16"/>
      <w:szCs w:val="16"/>
    </w:rPr>
  </w:style>
  <w:style w:type="character" w:customStyle="1" w:styleId="CommentTextChar">
    <w:name w:val="Comment Text Char"/>
    <w:basedOn w:val="DefaultParagraphFont"/>
    <w:link w:val="CommentText"/>
    <w:uiPriority w:val="99"/>
    <w:qFormat/>
    <w:rsid w:val="00315969"/>
    <w:rPr>
      <w:sz w:val="20"/>
      <w:szCs w:val="20"/>
    </w:rPr>
  </w:style>
  <w:style w:type="character" w:customStyle="1" w:styleId="CommentSubjectChar">
    <w:name w:val="Comment Subject Char"/>
    <w:basedOn w:val="CommentTextChar"/>
    <w:link w:val="CommentSubject"/>
    <w:uiPriority w:val="99"/>
    <w:semiHidden/>
    <w:qFormat/>
    <w:rsid w:val="00315969"/>
    <w:rPr>
      <w:b/>
      <w:bCs/>
      <w:sz w:val="20"/>
      <w:szCs w:val="20"/>
    </w:rPr>
  </w:style>
  <w:style w:type="character" w:styleId="Hyperlink">
    <w:name w:val="Hyperlink"/>
    <w:basedOn w:val="DefaultParagraphFont"/>
    <w:uiPriority w:val="99"/>
    <w:unhideWhenUsed/>
    <w:rsid w:val="00734C27"/>
    <w:rPr>
      <w:color w:val="467886" w:themeColor="hyperlink"/>
      <w:u w:val="single"/>
    </w:rPr>
  </w:style>
  <w:style w:type="character" w:styleId="UnresolvedMention">
    <w:name w:val="Unresolved Mention"/>
    <w:basedOn w:val="DefaultParagraphFont"/>
    <w:uiPriority w:val="99"/>
    <w:semiHidden/>
    <w:unhideWhenUsed/>
    <w:qFormat/>
    <w:rsid w:val="00734C27"/>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rPr>
  </w:style>
  <w:style w:type="paragraph" w:customStyle="1" w:styleId="Index">
    <w:name w:val="Index"/>
    <w:basedOn w:val="Normal"/>
    <w:qFormat/>
    <w:pPr>
      <w:suppressLineNumbers/>
    </w:pPr>
    <w:rPr>
      <w:rFonts w:cs="Noto Sans Devanagari"/>
    </w:rPr>
  </w:style>
  <w:style w:type="paragraph" w:styleId="Title">
    <w:name w:val="Title"/>
    <w:basedOn w:val="Normal"/>
    <w:next w:val="Normal"/>
    <w:link w:val="TitleChar"/>
    <w:uiPriority w:val="10"/>
    <w:qFormat/>
    <w:rsid w:val="0053585C"/>
    <w:pPr>
      <w:spacing w:after="80" w:line="240" w:lineRule="auto"/>
      <w:contextualSpacing/>
    </w:pPr>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5358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585C"/>
    <w:pPr>
      <w:spacing w:before="160"/>
      <w:jc w:val="center"/>
    </w:pPr>
    <w:rPr>
      <w:i/>
      <w:iCs/>
      <w:color w:val="404040" w:themeColor="text1" w:themeTint="BF"/>
    </w:rPr>
  </w:style>
  <w:style w:type="paragraph" w:styleId="ListParagraph">
    <w:name w:val="List Paragraph"/>
    <w:basedOn w:val="Normal"/>
    <w:uiPriority w:val="34"/>
    <w:qFormat/>
    <w:rsid w:val="0053585C"/>
    <w:pPr>
      <w:ind w:left="720"/>
      <w:contextualSpacing/>
    </w:pPr>
  </w:style>
  <w:style w:type="paragraph" w:styleId="IntenseQuote">
    <w:name w:val="Intense Quote"/>
    <w:basedOn w:val="Normal"/>
    <w:next w:val="Normal"/>
    <w:link w:val="IntenseQuoteChar"/>
    <w:uiPriority w:val="30"/>
    <w:qFormat/>
    <w:rsid w:val="005358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MDPI31text">
    <w:name w:val="MDPI_3.1_text"/>
    <w:qFormat/>
    <w:rsid w:val="00535F6F"/>
    <w:pPr>
      <w:snapToGrid w:val="0"/>
      <w:spacing w:line="280" w:lineRule="atLeast"/>
      <w:ind w:left="2608" w:firstLine="425"/>
      <w:jc w:val="both"/>
    </w:pPr>
    <w:rPr>
      <w:rFonts w:ascii="Palatino Linotype" w:eastAsia="Times New Roman" w:hAnsi="Palatino Linotype" w:cs="Times New Roman"/>
      <w:color w:val="000000"/>
      <w:kern w:val="0"/>
      <w:sz w:val="20"/>
      <w:szCs w:val="22"/>
      <w:lang w:val="en-US" w:eastAsia="de-DE" w:bidi="en-US"/>
      <w14:ligatures w14:val="none"/>
    </w:rPr>
  </w:style>
  <w:style w:type="paragraph" w:styleId="CommentText">
    <w:name w:val="annotation text"/>
    <w:basedOn w:val="Normal"/>
    <w:link w:val="CommentTextChar"/>
    <w:uiPriority w:val="99"/>
    <w:unhideWhenUsed/>
    <w:rsid w:val="00315969"/>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315969"/>
    <w:rPr>
      <w:b/>
      <w:bCs/>
    </w:rPr>
  </w:style>
  <w:style w:type="paragraph" w:customStyle="1" w:styleId="Default">
    <w:name w:val="Default"/>
    <w:qFormat/>
    <w:rsid w:val="004C3719"/>
    <w:rPr>
      <w:rFonts w:ascii="Times New Roman" w:eastAsia="Aptos" w:hAnsi="Times New Roman" w:cs="Times New Roman"/>
      <w:color w:val="000000"/>
      <w:kern w:val="0"/>
      <w14:ligatures w14:val="none"/>
    </w:rPr>
  </w:style>
  <w:style w:type="table" w:styleId="TableGrid">
    <w:name w:val="Table Grid"/>
    <w:basedOn w:val="TableNormal"/>
    <w:uiPriority w:val="39"/>
    <w:rsid w:val="00DB2326"/>
    <w:pPr>
      <w:spacing w:line="260" w:lineRule="atLeast"/>
      <w:jc w:val="both"/>
    </w:pPr>
    <w:rPr>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oi.org/10.3390/gels12070589" TargetMode="External"/><Relationship Id="rId3" Type="http://schemas.openxmlformats.org/officeDocument/2006/relationships/styles" Target="styles.xml"/><Relationship Id="rId7" Type="http://schemas.openxmlformats.org/officeDocument/2006/relationships/hyperlink" Target="https://doi.org/10.3390/gels1207058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i.org/10.3390/gels12070589"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2AAB9-8CE3-46A9-83F6-BA2CAE118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6</Pages>
  <Words>1308</Words>
  <Characters>7458</Characters>
  <Application>Microsoft Office Word</Application>
  <DocSecurity>0</DocSecurity>
  <Lines>62</Lines>
  <Paragraphs>17</Paragraphs>
  <ScaleCrop>false</ScaleCrop>
  <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Demetra Giuri</dc:creator>
  <dc:description/>
  <cp:lastModifiedBy>Amir Djalali</cp:lastModifiedBy>
  <cp:revision>84</cp:revision>
  <dcterms:created xsi:type="dcterms:W3CDTF">2026-04-28T14:44:00Z</dcterms:created>
  <dcterms:modified xsi:type="dcterms:W3CDTF">2026-07-03T13:43:00Z</dcterms:modified>
  <dc:language>en-US</dc:language>
</cp:coreProperties>
</file>