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1004" w:rsidRPr="009A5A93" w:rsidRDefault="00C93E4B" w:rsidP="00B6589D">
      <w:pPr>
        <w:pStyle w:val="Rubrik1understruken"/>
        <w:rPr>
          <w:rFonts w:eastAsia="Calibri"/>
          <w:sz w:val="52"/>
          <w:szCs w:val="36"/>
        </w:rPr>
      </w:pPr>
      <w:r w:rsidRPr="009A5A93">
        <w:rPr>
          <w:rFonts w:eastAsia="Calibri"/>
          <w:sz w:val="52"/>
          <w:szCs w:val="36"/>
        </w:rPr>
        <w:t>Supplementary Material</w:t>
      </w:r>
    </w:p>
    <w:p w14:paraId="00000002" w14:textId="06DDB0D6" w:rsidR="00511004" w:rsidRDefault="00511004"/>
    <w:p w14:paraId="13101C70" w14:textId="4257996D" w:rsidR="006115F2" w:rsidRPr="006115F2" w:rsidRDefault="006115F2" w:rsidP="006115F2">
      <w:pPr>
        <w:pStyle w:val="Heading1"/>
      </w:pPr>
      <w:r>
        <w:t>Life Cycle Inventory Data</w:t>
      </w:r>
    </w:p>
    <w:p w14:paraId="6C1FB366" w14:textId="77777777" w:rsidR="006115F2" w:rsidRDefault="006115F2" w:rsidP="006115F2">
      <w:r>
        <w:t xml:space="preserve">Table S1 provides information on the life cycle inventory data employed in the baseline and current scenarios. Other LCI datasets employed for the past and future scenarios and sensitivity analyses are included in the corresponding sections below. </w:t>
      </w:r>
    </w:p>
    <w:p w14:paraId="17325189" w14:textId="21707439" w:rsidR="006115F2" w:rsidRDefault="006115F2" w:rsidP="006115F2">
      <w:pPr>
        <w:keepNext/>
        <w:pBdr>
          <w:top w:val="nil"/>
          <w:left w:val="nil"/>
          <w:bottom w:val="nil"/>
          <w:right w:val="nil"/>
          <w:between w:val="nil"/>
        </w:pBdr>
        <w:spacing w:after="200" w:line="240" w:lineRule="auto"/>
        <w:rPr>
          <w:i/>
          <w:color w:val="44546A"/>
          <w:sz w:val="18"/>
          <w:szCs w:val="18"/>
        </w:rPr>
      </w:pPr>
      <w:r>
        <w:rPr>
          <w:i/>
          <w:color w:val="44546A"/>
          <w:sz w:val="18"/>
          <w:szCs w:val="18"/>
        </w:rPr>
        <w:t>Table S1: Life Cycle Inventory (LCI) data employed in the Baseline and Current Scenarios (Other LCI data employed in past and future scenarios are outlined in sections below)</w:t>
      </w:r>
      <w:r w:rsidR="00CB7851">
        <w:rPr>
          <w:i/>
          <w:color w:val="44546A"/>
          <w:sz w:val="18"/>
          <w:szCs w:val="18"/>
        </w:rPr>
        <w:t>. All datasets from Ecoinvent v 3.7</w:t>
      </w:r>
    </w:p>
    <w:tbl>
      <w:tblPr>
        <w:tblStyle w:val="ListTable1Light-Accent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555"/>
        <w:gridCol w:w="4250"/>
        <w:gridCol w:w="7"/>
      </w:tblGrid>
      <w:tr w:rsidR="002B773D" w14:paraId="66D5BF88" w14:textId="77777777" w:rsidTr="002B773D">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134" w:type="dxa"/>
          </w:tcPr>
          <w:p w14:paraId="006EA374" w14:textId="77777777" w:rsidR="006115F2" w:rsidRPr="00767BBA" w:rsidRDefault="006115F2" w:rsidP="00DE2132">
            <w:pPr>
              <w:jc w:val="center"/>
              <w:rPr>
                <w:rFonts w:asciiTheme="majorHAnsi" w:eastAsia="Calibri" w:hAnsiTheme="majorHAnsi" w:cstheme="majorHAnsi"/>
              </w:rPr>
            </w:pPr>
            <w:r w:rsidRPr="00767BBA">
              <w:rPr>
                <w:rFonts w:asciiTheme="majorHAnsi" w:eastAsia="Calibri" w:hAnsiTheme="majorHAnsi" w:cstheme="majorHAnsi"/>
              </w:rPr>
              <w:t>Type</w:t>
            </w:r>
          </w:p>
        </w:tc>
        <w:tc>
          <w:tcPr>
            <w:tcW w:w="1134" w:type="dxa"/>
          </w:tcPr>
          <w:p w14:paraId="2F8152D6" w14:textId="77777777" w:rsidR="006115F2" w:rsidRPr="00767BBA" w:rsidRDefault="006115F2" w:rsidP="00DE2132">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Category</w:t>
            </w:r>
          </w:p>
        </w:tc>
        <w:tc>
          <w:tcPr>
            <w:tcW w:w="1134" w:type="dxa"/>
          </w:tcPr>
          <w:p w14:paraId="0F53B057" w14:textId="77777777" w:rsidR="006115F2" w:rsidRPr="00767BBA" w:rsidRDefault="006115F2" w:rsidP="00DE2132">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Specific Category</w:t>
            </w:r>
          </w:p>
        </w:tc>
        <w:tc>
          <w:tcPr>
            <w:tcW w:w="1555" w:type="dxa"/>
          </w:tcPr>
          <w:p w14:paraId="2E0B49FE" w14:textId="77777777" w:rsidR="002B773D" w:rsidRDefault="006115F2" w:rsidP="00DE2132">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rPr>
            </w:pPr>
            <w:r w:rsidRPr="00767BBA">
              <w:rPr>
                <w:rFonts w:asciiTheme="majorHAnsi" w:eastAsia="Calibri" w:hAnsiTheme="majorHAnsi" w:cstheme="majorHAnsi"/>
              </w:rPr>
              <w:t>Product/</w:t>
            </w:r>
          </w:p>
          <w:p w14:paraId="18A0BB5C" w14:textId="41066987" w:rsidR="006115F2" w:rsidRPr="00767BBA" w:rsidRDefault="006115F2" w:rsidP="00DE2132">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System</w:t>
            </w:r>
          </w:p>
        </w:tc>
        <w:tc>
          <w:tcPr>
            <w:tcW w:w="4257" w:type="dxa"/>
            <w:gridSpan w:val="2"/>
          </w:tcPr>
          <w:p w14:paraId="694067A9" w14:textId="77777777" w:rsidR="006115F2" w:rsidRPr="00767BBA" w:rsidRDefault="006115F2" w:rsidP="00DE2132">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LCI dataset</w:t>
            </w:r>
          </w:p>
        </w:tc>
      </w:tr>
      <w:tr w:rsidR="00CB7851" w14:paraId="401C38E6"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121B39A" w14:textId="77777777" w:rsidR="00CB7851" w:rsidRPr="00767BBA" w:rsidRDefault="00CB7851" w:rsidP="00DE2132">
            <w:pPr>
              <w:jc w:val="center"/>
              <w:rPr>
                <w:rFonts w:asciiTheme="majorHAnsi" w:eastAsia="Calibri" w:hAnsiTheme="majorHAnsi" w:cstheme="majorHAnsi"/>
              </w:rPr>
            </w:pPr>
            <w:r w:rsidRPr="00767BBA">
              <w:rPr>
                <w:rFonts w:asciiTheme="majorHAnsi" w:eastAsia="Calibri" w:hAnsiTheme="majorHAnsi" w:cstheme="majorHAnsi"/>
              </w:rPr>
              <w:t>Inputs</w:t>
            </w:r>
          </w:p>
        </w:tc>
        <w:tc>
          <w:tcPr>
            <w:tcW w:w="1134" w:type="dxa"/>
            <w:vMerge w:val="restart"/>
          </w:tcPr>
          <w:p w14:paraId="74F3E3B3"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i/>
              </w:rPr>
            </w:pPr>
            <w:r w:rsidRPr="00767BBA">
              <w:rPr>
                <w:rFonts w:asciiTheme="majorHAnsi" w:eastAsia="Calibri" w:hAnsiTheme="majorHAnsi" w:cstheme="majorHAnsi"/>
                <w:b/>
                <w:i/>
              </w:rPr>
              <w:t>Material Inputs</w:t>
            </w:r>
          </w:p>
        </w:tc>
        <w:tc>
          <w:tcPr>
            <w:tcW w:w="1134" w:type="dxa"/>
            <w:vMerge w:val="restart"/>
          </w:tcPr>
          <w:p w14:paraId="4B73322D"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Growing Medium</w:t>
            </w:r>
          </w:p>
        </w:tc>
        <w:tc>
          <w:tcPr>
            <w:tcW w:w="1555" w:type="dxa"/>
          </w:tcPr>
          <w:p w14:paraId="1D58D4C5"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Peat</w:t>
            </w:r>
          </w:p>
        </w:tc>
        <w:tc>
          <w:tcPr>
            <w:tcW w:w="4257" w:type="dxa"/>
            <w:gridSpan w:val="2"/>
          </w:tcPr>
          <w:p w14:paraId="73E75D09"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peat moss | peat moss | Cutoff, S</w:t>
            </w:r>
          </w:p>
          <w:p w14:paraId="0DE90973"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CB7851" w14:paraId="0E450774"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15BFAB45"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751A3621"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134" w:type="dxa"/>
            <w:vMerge/>
          </w:tcPr>
          <w:p w14:paraId="099B7572"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2BF547CB"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Perlite</w:t>
            </w:r>
          </w:p>
        </w:tc>
        <w:tc>
          <w:tcPr>
            <w:tcW w:w="4257" w:type="dxa"/>
            <w:gridSpan w:val="2"/>
          </w:tcPr>
          <w:p w14:paraId="7BD0051E"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expanded perlite | expanded perlite | Cutoff, S</w:t>
            </w:r>
          </w:p>
          <w:p w14:paraId="76614FF3"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CB7851" w14:paraId="114B9635"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093BAF75"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51C6C577"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134" w:type="dxa"/>
            <w:vMerge/>
          </w:tcPr>
          <w:p w14:paraId="51923547"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7112D6D5"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Wood Chips</w:t>
            </w:r>
          </w:p>
        </w:tc>
        <w:tc>
          <w:tcPr>
            <w:tcW w:w="4257" w:type="dxa"/>
            <w:gridSpan w:val="2"/>
          </w:tcPr>
          <w:p w14:paraId="7AC894BF"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wood chips, wet, measured as dry mass | wood chips, wet, measured as dry mass | Cutoff, S</w:t>
            </w:r>
          </w:p>
          <w:p w14:paraId="7BFF6ED3"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v</w:t>
            </w:r>
          </w:p>
        </w:tc>
      </w:tr>
      <w:tr w:rsidR="00CB7851" w14:paraId="5AC1E124"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1BCE24FB"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4E6D6DBA"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134" w:type="dxa"/>
            <w:vMerge/>
          </w:tcPr>
          <w:p w14:paraId="5717496B"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33686756"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Sand</w:t>
            </w:r>
          </w:p>
        </w:tc>
        <w:tc>
          <w:tcPr>
            <w:tcW w:w="4257" w:type="dxa"/>
            <w:gridSpan w:val="2"/>
          </w:tcPr>
          <w:p w14:paraId="4751236F"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sand | sand | Cutoff, S</w:t>
            </w:r>
          </w:p>
          <w:p w14:paraId="0EC94753"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CB7851" w14:paraId="76F6D987"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5AE6FF70"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6AE251F6"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134" w:type="dxa"/>
            <w:vMerge/>
          </w:tcPr>
          <w:p w14:paraId="076F4840"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533378B8"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Horn Meal</w:t>
            </w:r>
          </w:p>
        </w:tc>
        <w:tc>
          <w:tcPr>
            <w:tcW w:w="4257" w:type="dxa"/>
            <w:gridSpan w:val="2"/>
          </w:tcPr>
          <w:p w14:paraId="78AB10E5"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horn meal | horn meal | Cutoff, S</w:t>
            </w:r>
          </w:p>
          <w:p w14:paraId="55B40A2A"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CB7851" w14:paraId="5F3129C6"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7703FBF0"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6EE5159A"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134" w:type="dxa"/>
          </w:tcPr>
          <w:p w14:paraId="657AB90B"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Organic Fertilizers</w:t>
            </w:r>
          </w:p>
        </w:tc>
        <w:tc>
          <w:tcPr>
            <w:tcW w:w="1555" w:type="dxa"/>
          </w:tcPr>
          <w:p w14:paraId="3019BDD4" w14:textId="5CAAAA7E"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Food Industry By-Products</w:t>
            </w:r>
          </w:p>
        </w:tc>
        <w:tc>
          <w:tcPr>
            <w:tcW w:w="4257" w:type="dxa"/>
            <w:gridSpan w:val="2"/>
          </w:tcPr>
          <w:p w14:paraId="669437E5" w14:textId="476C8DFA"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color w:val="FF0000"/>
              </w:rPr>
            </w:pPr>
            <w:r w:rsidRPr="00767BBA">
              <w:rPr>
                <w:rFonts w:asciiTheme="majorHAnsi" w:eastAsia="Calibri" w:hAnsiTheme="majorHAnsi" w:cstheme="majorHAnsi"/>
                <w:i/>
                <w:iCs/>
              </w:rPr>
              <w:t>No information included due to proprietary reasons</w:t>
            </w:r>
          </w:p>
        </w:tc>
      </w:tr>
      <w:tr w:rsidR="00CB7851" w14:paraId="779125B6"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7C1C8C1C"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FF0000"/>
              </w:rPr>
            </w:pPr>
          </w:p>
        </w:tc>
        <w:tc>
          <w:tcPr>
            <w:tcW w:w="1134" w:type="dxa"/>
            <w:vMerge/>
          </w:tcPr>
          <w:p w14:paraId="6E37FFB0"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FF0000"/>
              </w:rPr>
            </w:pPr>
          </w:p>
        </w:tc>
        <w:tc>
          <w:tcPr>
            <w:tcW w:w="1134" w:type="dxa"/>
          </w:tcPr>
          <w:p w14:paraId="7558E3F7"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Seeds</w:t>
            </w:r>
          </w:p>
        </w:tc>
        <w:tc>
          <w:tcPr>
            <w:tcW w:w="1555" w:type="dxa"/>
          </w:tcPr>
          <w:p w14:paraId="6E2E839F"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Seeds</w:t>
            </w:r>
          </w:p>
          <w:p w14:paraId="097C6593"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4257" w:type="dxa"/>
            <w:gridSpan w:val="2"/>
          </w:tcPr>
          <w:p w14:paraId="045160CB"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grass seed production, organic, for sowing | grass seed, organic, for sowing | Cutoff, S</w:t>
            </w:r>
          </w:p>
          <w:p w14:paraId="40FAFB8D"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CB7851" w14:paraId="0B46632F"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1660C0FD"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18D865C8"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134" w:type="dxa"/>
            <w:vMerge w:val="restart"/>
          </w:tcPr>
          <w:p w14:paraId="40C56227"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Water</w:t>
            </w:r>
          </w:p>
        </w:tc>
        <w:tc>
          <w:tcPr>
            <w:tcW w:w="1555" w:type="dxa"/>
          </w:tcPr>
          <w:p w14:paraId="6F534A5B"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Tap Water</w:t>
            </w:r>
          </w:p>
        </w:tc>
        <w:tc>
          <w:tcPr>
            <w:tcW w:w="4257" w:type="dxa"/>
            <w:gridSpan w:val="2"/>
          </w:tcPr>
          <w:p w14:paraId="69587D3E"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tap water | tap water | Cutoff, S</w:t>
            </w:r>
          </w:p>
          <w:p w14:paraId="02C99ADB"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CB7851" w14:paraId="1B00117D"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2657A838"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0BDD21E9"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134" w:type="dxa"/>
            <w:vMerge/>
          </w:tcPr>
          <w:p w14:paraId="3D6AAD5E"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4089B671"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roofErr w:type="gramStart"/>
            <w:r w:rsidRPr="00767BBA">
              <w:rPr>
                <w:rFonts w:asciiTheme="majorHAnsi" w:eastAsia="Calibri" w:hAnsiTheme="majorHAnsi" w:cstheme="majorHAnsi"/>
              </w:rPr>
              <w:t>Rain Water</w:t>
            </w:r>
            <w:proofErr w:type="gramEnd"/>
          </w:p>
        </w:tc>
        <w:tc>
          <w:tcPr>
            <w:tcW w:w="4257" w:type="dxa"/>
            <w:gridSpan w:val="2"/>
          </w:tcPr>
          <w:p w14:paraId="041454A6" w14:textId="3AD6792F" w:rsidR="00CB7851" w:rsidRPr="00767BBA" w:rsidRDefault="00CB7851" w:rsidP="00767B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water, harvested from rainwater | water, harvested from rainwater | Cutoff, S</w:t>
            </w:r>
          </w:p>
        </w:tc>
      </w:tr>
      <w:tr w:rsidR="00CB7851" w14:paraId="7F5AA59C"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69C4F2A3"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439D5518"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134" w:type="dxa"/>
          </w:tcPr>
          <w:p w14:paraId="05D6598E"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Other</w:t>
            </w:r>
          </w:p>
        </w:tc>
        <w:tc>
          <w:tcPr>
            <w:tcW w:w="1555" w:type="dxa"/>
          </w:tcPr>
          <w:p w14:paraId="0B365C47"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CO2 (enrichment)</w:t>
            </w:r>
          </w:p>
        </w:tc>
        <w:tc>
          <w:tcPr>
            <w:tcW w:w="4257" w:type="dxa"/>
            <w:gridSpan w:val="2"/>
          </w:tcPr>
          <w:p w14:paraId="3F7ED268"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market for carbon dioxide, liquid | carbon dioxide, liquid | Cutoff, S</w:t>
            </w:r>
          </w:p>
        </w:tc>
      </w:tr>
      <w:tr w:rsidR="00CB7851" w14:paraId="1E17C6E7"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53905CF6"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644B3CFB"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134" w:type="dxa"/>
            <w:vMerge w:val="restart"/>
          </w:tcPr>
          <w:p w14:paraId="356F4D70"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Packaging/Pots</w:t>
            </w:r>
          </w:p>
        </w:tc>
        <w:tc>
          <w:tcPr>
            <w:tcW w:w="1555" w:type="dxa"/>
          </w:tcPr>
          <w:p w14:paraId="09FA9CE1"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Polystyrene (PS)</w:t>
            </w:r>
          </w:p>
        </w:tc>
        <w:tc>
          <w:tcPr>
            <w:tcW w:w="4257" w:type="dxa"/>
            <w:gridSpan w:val="2"/>
          </w:tcPr>
          <w:p w14:paraId="6E611962"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polystyrene production, general purpose | polystyrene, general purpose | Cutoff, S</w:t>
            </w:r>
          </w:p>
        </w:tc>
      </w:tr>
      <w:tr w:rsidR="00CB7851" w14:paraId="0004517D"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113660F7"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1134" w:type="dxa"/>
            <w:vMerge/>
          </w:tcPr>
          <w:p w14:paraId="6E329D6C"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
        </w:tc>
        <w:tc>
          <w:tcPr>
            <w:tcW w:w="1134" w:type="dxa"/>
            <w:vMerge/>
          </w:tcPr>
          <w:p w14:paraId="26CE3332"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
        </w:tc>
        <w:tc>
          <w:tcPr>
            <w:tcW w:w="1555" w:type="dxa"/>
          </w:tcPr>
          <w:p w14:paraId="4F8EBB7D"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Recycled Polypropylene (PP)</w:t>
            </w:r>
          </w:p>
        </w:tc>
        <w:tc>
          <w:tcPr>
            <w:tcW w:w="4257" w:type="dxa"/>
            <w:gridSpan w:val="2"/>
          </w:tcPr>
          <w:p w14:paraId="31BB7856"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polypropylene production, granulate | polypropylene, granulate | Cutoff, S</w:t>
            </w:r>
          </w:p>
        </w:tc>
      </w:tr>
      <w:tr w:rsidR="00CB7851" w14:paraId="6F8B5564"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40B6DE82"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1134" w:type="dxa"/>
            <w:vMerge/>
          </w:tcPr>
          <w:p w14:paraId="4283009D"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134" w:type="dxa"/>
            <w:vMerge/>
          </w:tcPr>
          <w:p w14:paraId="36BB5124"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555" w:type="dxa"/>
          </w:tcPr>
          <w:p w14:paraId="4B249E34"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Polypropylene</w:t>
            </w:r>
          </w:p>
        </w:tc>
        <w:tc>
          <w:tcPr>
            <w:tcW w:w="4257" w:type="dxa"/>
            <w:gridSpan w:val="2"/>
          </w:tcPr>
          <w:p w14:paraId="56D61FB5"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polypropylene production, granulate | polypropylene, granulate | Cutoff, S</w:t>
            </w:r>
          </w:p>
        </w:tc>
      </w:tr>
      <w:tr w:rsidR="00CB7851" w14:paraId="7714BD95"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4F57DA15"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1134" w:type="dxa"/>
            <w:vMerge/>
          </w:tcPr>
          <w:p w14:paraId="78564219"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
        </w:tc>
        <w:tc>
          <w:tcPr>
            <w:tcW w:w="1134" w:type="dxa"/>
            <w:vMerge/>
          </w:tcPr>
          <w:p w14:paraId="2032BD8F"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
        </w:tc>
        <w:tc>
          <w:tcPr>
            <w:tcW w:w="1555" w:type="dxa"/>
          </w:tcPr>
          <w:p w14:paraId="559ECFD2"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LLDEPE</w:t>
            </w:r>
          </w:p>
        </w:tc>
        <w:tc>
          <w:tcPr>
            <w:tcW w:w="4257" w:type="dxa"/>
            <w:gridSpan w:val="2"/>
          </w:tcPr>
          <w:p w14:paraId="48977FF5"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packaging film, low density polyethylene | packaging film, low density polyethylene | Cutoff, S</w:t>
            </w:r>
          </w:p>
        </w:tc>
      </w:tr>
      <w:tr w:rsidR="00CB7851" w14:paraId="3205FC9F"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71B9E653"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1134" w:type="dxa"/>
            <w:vMerge/>
          </w:tcPr>
          <w:p w14:paraId="03C5FF42"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134" w:type="dxa"/>
            <w:vMerge/>
          </w:tcPr>
          <w:p w14:paraId="5DDE3941"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555" w:type="dxa"/>
          </w:tcPr>
          <w:p w14:paraId="314747E2"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Polyethylene</w:t>
            </w:r>
          </w:p>
        </w:tc>
        <w:tc>
          <w:tcPr>
            <w:tcW w:w="4257" w:type="dxa"/>
            <w:gridSpan w:val="2"/>
          </w:tcPr>
          <w:p w14:paraId="169D77B4"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polyethylene production, high density, granulate</w:t>
            </w:r>
          </w:p>
        </w:tc>
      </w:tr>
      <w:tr w:rsidR="00CB7851" w14:paraId="66950EB6"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2AB93D80"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rPr>
            </w:pPr>
          </w:p>
        </w:tc>
        <w:tc>
          <w:tcPr>
            <w:tcW w:w="1134" w:type="dxa"/>
            <w:vMerge/>
          </w:tcPr>
          <w:p w14:paraId="1F7913E5"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134" w:type="dxa"/>
            <w:vMerge/>
          </w:tcPr>
          <w:p w14:paraId="02FCFB1B"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3E39F627"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Polyethylene (Recycled)</w:t>
            </w:r>
          </w:p>
        </w:tc>
        <w:tc>
          <w:tcPr>
            <w:tcW w:w="4257" w:type="dxa"/>
            <w:gridSpan w:val="2"/>
          </w:tcPr>
          <w:p w14:paraId="50A50A9D"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polyethylene terephthalate production, granulate, amorphous, recycled | polyethylene terephthalate, granulate, amorphous, recycled | Cutoff, S</w:t>
            </w:r>
          </w:p>
        </w:tc>
      </w:tr>
      <w:tr w:rsidR="00CB7851" w14:paraId="2977A29F"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7F62489C"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1134" w:type="dxa"/>
            <w:vMerge/>
          </w:tcPr>
          <w:p w14:paraId="78888978"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134" w:type="dxa"/>
            <w:vMerge/>
          </w:tcPr>
          <w:p w14:paraId="290ECA17" w14:textId="77777777" w:rsidR="00CB7851" w:rsidRPr="00767BBA" w:rsidRDefault="00CB7851" w:rsidP="00DE213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555" w:type="dxa"/>
          </w:tcPr>
          <w:p w14:paraId="376B93D2"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PET</w:t>
            </w:r>
          </w:p>
        </w:tc>
        <w:tc>
          <w:tcPr>
            <w:tcW w:w="4257" w:type="dxa"/>
            <w:gridSpan w:val="2"/>
          </w:tcPr>
          <w:p w14:paraId="3512B35C"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polyethylene terephthalate production, granulate, amorphous | polyethylene terephthalate, granulate, amorphous | Cutoff, S</w:t>
            </w:r>
          </w:p>
        </w:tc>
      </w:tr>
      <w:tr w:rsidR="00CB7851" w14:paraId="44AFD93D"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6DA66B33"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1134" w:type="dxa"/>
            <w:vMerge/>
          </w:tcPr>
          <w:p w14:paraId="246B81A2"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
        </w:tc>
        <w:tc>
          <w:tcPr>
            <w:tcW w:w="1134" w:type="dxa"/>
            <w:vMerge/>
          </w:tcPr>
          <w:p w14:paraId="4B58F24D" w14:textId="77777777" w:rsidR="00CB7851" w:rsidRPr="00767BBA" w:rsidRDefault="00CB7851" w:rsidP="00DE213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
        </w:tc>
        <w:tc>
          <w:tcPr>
            <w:tcW w:w="1555" w:type="dxa"/>
          </w:tcPr>
          <w:p w14:paraId="2E5454A2" w14:textId="77777777" w:rsidR="00CB7851" w:rsidRPr="00767BBA" w:rsidRDefault="00CB7851" w:rsidP="00DE2132">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Cardboard</w:t>
            </w:r>
          </w:p>
        </w:tc>
        <w:tc>
          <w:tcPr>
            <w:tcW w:w="4257" w:type="dxa"/>
            <w:gridSpan w:val="2"/>
          </w:tcPr>
          <w:p w14:paraId="743F8A76" w14:textId="77777777" w:rsidR="00CB7851" w:rsidRPr="00767BBA" w:rsidRDefault="00CB7851" w:rsidP="00DE2132">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corrugated board box | corrugated board box | Cutoff, S</w:t>
            </w:r>
          </w:p>
        </w:tc>
      </w:tr>
      <w:tr w:rsidR="00CB7851" w14:paraId="190CE3D8"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292DC31E" w14:textId="77777777" w:rsidR="00CB7851" w:rsidRPr="00767BBA" w:rsidRDefault="00CB7851" w:rsidP="00DE2132">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2268" w:type="dxa"/>
            <w:gridSpan w:val="2"/>
            <w:vMerge w:val="restart"/>
          </w:tcPr>
          <w:p w14:paraId="5BA31416"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Energy Inputs</w:t>
            </w:r>
          </w:p>
        </w:tc>
        <w:tc>
          <w:tcPr>
            <w:tcW w:w="1555" w:type="dxa"/>
          </w:tcPr>
          <w:p w14:paraId="1A46870E"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Electricity</w:t>
            </w:r>
          </w:p>
        </w:tc>
        <w:tc>
          <w:tcPr>
            <w:tcW w:w="4257" w:type="dxa"/>
            <w:gridSpan w:val="2"/>
          </w:tcPr>
          <w:p w14:paraId="1EB7EF9E" w14:textId="77777777" w:rsidR="00CB7851" w:rsidRPr="00767BBA" w:rsidRDefault="00CB7851" w:rsidP="00DE2132">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electricity, medium voltage | electricity, medium voltage, SE | Cutoff, S</w:t>
            </w:r>
          </w:p>
          <w:p w14:paraId="11703779" w14:textId="77777777" w:rsidR="00CB7851" w:rsidRPr="00767BBA" w:rsidRDefault="00CB7851" w:rsidP="00DE2132">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CB7851" w14:paraId="1132208A"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1E8D8281" w14:textId="77777777" w:rsidR="00CB7851" w:rsidRPr="00767BBA" w:rsidRDefault="00CB7851"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35D448B5" w14:textId="77777777" w:rsidR="00CB7851" w:rsidRPr="00767BBA" w:rsidRDefault="00CB7851"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2BF62A49" w14:textId="66C54945"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Nordic Mix</w:t>
            </w:r>
          </w:p>
        </w:tc>
        <w:tc>
          <w:tcPr>
            <w:tcW w:w="4257" w:type="dxa"/>
            <w:gridSpan w:val="2"/>
          </w:tcPr>
          <w:p w14:paraId="1DC106E4" w14:textId="3998DC58" w:rsidR="00CB7851" w:rsidRPr="00767BBA" w:rsidRDefault="00CB7851" w:rsidP="00767B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roofErr w:type="spellStart"/>
            <w:r w:rsidRPr="00767BBA">
              <w:rPr>
                <w:rFonts w:asciiTheme="majorHAnsi" w:hAnsiTheme="majorHAnsi" w:cstheme="majorHAnsi"/>
              </w:rPr>
              <w:t>NordEL</w:t>
            </w:r>
            <w:proofErr w:type="spellEnd"/>
            <w:r w:rsidRPr="00767BBA">
              <w:rPr>
                <w:rFonts w:asciiTheme="majorHAnsi" w:hAnsiTheme="majorHAnsi" w:cstheme="majorHAnsi"/>
              </w:rPr>
              <w:t xml:space="preserve">-electricity, high voltage, production mix | electricity, high voltage </w:t>
            </w:r>
          </w:p>
        </w:tc>
      </w:tr>
      <w:tr w:rsidR="00CB7851" w14:paraId="109931F5"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4B16FB17" w14:textId="77777777" w:rsidR="00CB7851" w:rsidRPr="00767BBA" w:rsidRDefault="00CB7851" w:rsidP="00767BBA">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2268" w:type="dxa"/>
            <w:gridSpan w:val="2"/>
            <w:vMerge/>
          </w:tcPr>
          <w:p w14:paraId="4BAB7A98" w14:textId="77777777" w:rsidR="00CB7851" w:rsidRPr="00767BBA" w:rsidRDefault="00CB7851"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555" w:type="dxa"/>
          </w:tcPr>
          <w:p w14:paraId="0C8AFFE0" w14:textId="3849F49C" w:rsidR="00CB7851" w:rsidRPr="00767BBA" w:rsidRDefault="00CB7851"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Hydropower</w:t>
            </w:r>
          </w:p>
        </w:tc>
        <w:tc>
          <w:tcPr>
            <w:tcW w:w="4257" w:type="dxa"/>
            <w:gridSpan w:val="2"/>
          </w:tcPr>
          <w:p w14:paraId="4B86E202" w14:textId="0839D9F2" w:rsidR="00CB7851" w:rsidRPr="00767BBA" w:rsidRDefault="00CB7851" w:rsidP="00767B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hAnsiTheme="majorHAnsi" w:cstheme="majorHAnsi"/>
              </w:rPr>
              <w:t xml:space="preserve">electricity production, hydro, reservoir, non-alpine region | electricity, high voltage </w:t>
            </w:r>
          </w:p>
        </w:tc>
      </w:tr>
      <w:tr w:rsidR="00CB7851" w14:paraId="5450407C" w14:textId="77777777" w:rsidTr="002B773D">
        <w:trPr>
          <w:trHeight w:val="315"/>
        </w:trPr>
        <w:tc>
          <w:tcPr>
            <w:cnfStyle w:val="001000000000" w:firstRow="0" w:lastRow="0" w:firstColumn="1" w:lastColumn="0" w:oddVBand="0" w:evenVBand="0" w:oddHBand="0" w:evenHBand="0" w:firstRowFirstColumn="0" w:firstRowLastColumn="0" w:lastRowFirstColumn="0" w:lastRowLastColumn="0"/>
            <w:tcW w:w="1134" w:type="dxa"/>
            <w:vMerge/>
          </w:tcPr>
          <w:p w14:paraId="601E4591" w14:textId="77777777" w:rsidR="00CB7851" w:rsidRPr="00767BBA" w:rsidRDefault="00CB7851" w:rsidP="00767BBA">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2268" w:type="dxa"/>
            <w:gridSpan w:val="2"/>
            <w:vMerge/>
          </w:tcPr>
          <w:p w14:paraId="045FA30C" w14:textId="77777777" w:rsidR="00CB7851" w:rsidRPr="00767BBA" w:rsidRDefault="00CB7851"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p>
        </w:tc>
        <w:tc>
          <w:tcPr>
            <w:tcW w:w="1555" w:type="dxa"/>
          </w:tcPr>
          <w:p w14:paraId="63FEAEE4" w14:textId="5080BD66"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 xml:space="preserve">Wind </w:t>
            </w:r>
          </w:p>
        </w:tc>
        <w:tc>
          <w:tcPr>
            <w:tcW w:w="4257" w:type="dxa"/>
            <w:gridSpan w:val="2"/>
          </w:tcPr>
          <w:p w14:paraId="3C884F20" w14:textId="75EECFC9"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electricity production, wind, 1-3MW turbine, onshore | electricity, high voltage</w:t>
            </w:r>
          </w:p>
        </w:tc>
      </w:tr>
      <w:tr w:rsidR="00CB7851" w14:paraId="1723BE10" w14:textId="77777777" w:rsidTr="002B773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Merge/>
          </w:tcPr>
          <w:p w14:paraId="5F2F1B8C" w14:textId="77777777" w:rsidR="00CB7851" w:rsidRPr="00767BBA" w:rsidRDefault="00CB7851" w:rsidP="00767BBA">
            <w:pPr>
              <w:widowControl w:val="0"/>
              <w:pBdr>
                <w:top w:val="nil"/>
                <w:left w:val="nil"/>
                <w:bottom w:val="nil"/>
                <w:right w:val="nil"/>
                <w:between w:val="nil"/>
              </w:pBdr>
              <w:spacing w:line="276" w:lineRule="auto"/>
              <w:rPr>
                <w:rFonts w:asciiTheme="majorHAnsi" w:eastAsia="Calibri" w:hAnsiTheme="majorHAnsi" w:cstheme="majorHAnsi"/>
                <w:color w:val="000000"/>
              </w:rPr>
            </w:pPr>
          </w:p>
        </w:tc>
        <w:tc>
          <w:tcPr>
            <w:tcW w:w="2268" w:type="dxa"/>
            <w:gridSpan w:val="2"/>
            <w:vMerge/>
          </w:tcPr>
          <w:p w14:paraId="2D40B861" w14:textId="77777777" w:rsidR="00CB7851" w:rsidRPr="00767BBA" w:rsidRDefault="00CB7851"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p>
        </w:tc>
        <w:tc>
          <w:tcPr>
            <w:tcW w:w="1555" w:type="dxa"/>
          </w:tcPr>
          <w:p w14:paraId="26EE3802" w14:textId="6959BDB6" w:rsidR="00CB7851" w:rsidRPr="00767BBA" w:rsidRDefault="00CB7851" w:rsidP="00767BB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67BBA">
              <w:rPr>
                <w:rFonts w:asciiTheme="majorHAnsi" w:hAnsiTheme="majorHAnsi" w:cstheme="majorHAnsi"/>
              </w:rPr>
              <w:t>Pellets</w:t>
            </w:r>
          </w:p>
        </w:tc>
        <w:tc>
          <w:tcPr>
            <w:tcW w:w="4257" w:type="dxa"/>
            <w:gridSpan w:val="2"/>
          </w:tcPr>
          <w:p w14:paraId="1BE7653E" w14:textId="06F86BA3" w:rsidR="00CB7851" w:rsidRPr="00037B32" w:rsidRDefault="00CB7851" w:rsidP="00767BB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7B32">
              <w:rPr>
                <w:rFonts w:asciiTheme="majorHAnsi" w:hAnsiTheme="majorHAnsi" w:cstheme="majorHAnsi"/>
              </w:rPr>
              <w:t>market for wood pellet | wood pellet, measured as dry mass | Cutoff, S (5kg/kwh)</w:t>
            </w:r>
          </w:p>
        </w:tc>
      </w:tr>
      <w:tr w:rsidR="00CB7851" w14:paraId="1F6F2A98"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25C6C84A" w14:textId="77777777" w:rsidR="00CB7851" w:rsidRPr="00767BBA" w:rsidRDefault="00CB7851"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val="restart"/>
          </w:tcPr>
          <w:p w14:paraId="55FE804B"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Cultivation and Packaging Waste Handling</w:t>
            </w:r>
          </w:p>
        </w:tc>
        <w:tc>
          <w:tcPr>
            <w:tcW w:w="1555" w:type="dxa"/>
          </w:tcPr>
          <w:p w14:paraId="1F8CAD0B"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Plastic Waste</w:t>
            </w:r>
          </w:p>
          <w:p w14:paraId="72D732C5"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(Incineration)</w:t>
            </w:r>
          </w:p>
        </w:tc>
        <w:tc>
          <w:tcPr>
            <w:tcW w:w="4257" w:type="dxa"/>
            <w:gridSpan w:val="2"/>
          </w:tcPr>
          <w:p w14:paraId="44C39D1D"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treatment of waste plastic, mixture, municipal incineration | waste plastic, mixture | Cutoff, S</w:t>
            </w:r>
          </w:p>
        </w:tc>
      </w:tr>
      <w:tr w:rsidR="00CB7851" w14:paraId="08B5E1D7"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06C1C085" w14:textId="77777777" w:rsidR="00CB7851" w:rsidRPr="00767BBA" w:rsidRDefault="00CB7851"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520363BD" w14:textId="77777777" w:rsidR="00CB7851" w:rsidRPr="00767BBA" w:rsidRDefault="00CB7851"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6716370E" w14:textId="77777777" w:rsidR="00CB7851" w:rsidRPr="00767BBA" w:rsidRDefault="00CB7851"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Plastic Waste (Recycling)</w:t>
            </w:r>
          </w:p>
        </w:tc>
        <w:tc>
          <w:tcPr>
            <w:tcW w:w="4257" w:type="dxa"/>
            <w:gridSpan w:val="2"/>
          </w:tcPr>
          <w:p w14:paraId="5A4AF56B" w14:textId="77777777" w:rsidR="00CB7851" w:rsidRPr="00767BBA" w:rsidRDefault="00CB7851"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treatment of waste polyethylene, for recycling, unsorted, sorting | waste polyethylene, for recycling, sorted | Cutoff, S</w:t>
            </w:r>
          </w:p>
        </w:tc>
      </w:tr>
      <w:tr w:rsidR="00CB7851" w14:paraId="6AB0E3D6"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44A5B206" w14:textId="77777777" w:rsidR="00CB7851" w:rsidRPr="00767BBA" w:rsidRDefault="00CB7851"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23AB5D82" w14:textId="77777777" w:rsidR="00CB7851" w:rsidRPr="00767BBA" w:rsidRDefault="00CB7851"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002F0917"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Organic/Bio-Based Waste</w:t>
            </w:r>
          </w:p>
        </w:tc>
        <w:tc>
          <w:tcPr>
            <w:tcW w:w="4257" w:type="dxa"/>
            <w:gridSpan w:val="2"/>
          </w:tcPr>
          <w:p w14:paraId="277C6810"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treatment of biowaste, industrial composting | biowaste | Cutoff, S</w:t>
            </w:r>
          </w:p>
        </w:tc>
      </w:tr>
      <w:tr w:rsidR="00CB7851" w14:paraId="0911482F"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1F216F8C" w14:textId="77777777" w:rsidR="00CB7851" w:rsidRPr="00767BBA" w:rsidRDefault="00CB7851" w:rsidP="00767BBA">
            <w:pPr>
              <w:widowControl w:val="0"/>
              <w:pBdr>
                <w:top w:val="nil"/>
                <w:left w:val="nil"/>
                <w:bottom w:val="nil"/>
                <w:right w:val="nil"/>
                <w:between w:val="nil"/>
              </w:pBdr>
              <w:spacing w:line="276" w:lineRule="auto"/>
              <w:jc w:val="center"/>
              <w:rPr>
                <w:rFonts w:asciiTheme="majorHAnsi" w:eastAsia="Calibri" w:hAnsiTheme="majorHAnsi" w:cstheme="majorHAnsi"/>
              </w:rPr>
            </w:pPr>
          </w:p>
        </w:tc>
        <w:tc>
          <w:tcPr>
            <w:tcW w:w="2268" w:type="dxa"/>
            <w:gridSpan w:val="2"/>
            <w:vMerge/>
          </w:tcPr>
          <w:p w14:paraId="60C1096D" w14:textId="77777777" w:rsidR="00CB7851" w:rsidRPr="00767BBA" w:rsidRDefault="00CB7851"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689383F2" w14:textId="77777777" w:rsidR="00CB7851" w:rsidRPr="00767BBA" w:rsidRDefault="00CB7851"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General Wastes</w:t>
            </w:r>
          </w:p>
        </w:tc>
        <w:tc>
          <w:tcPr>
            <w:tcW w:w="4257" w:type="dxa"/>
            <w:gridSpan w:val="2"/>
          </w:tcPr>
          <w:p w14:paraId="7E39C396" w14:textId="77777777" w:rsidR="00CB7851" w:rsidRPr="00767BBA" w:rsidRDefault="00CB7851"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hAnsiTheme="majorHAnsi" w:cstheme="majorHAnsi"/>
              </w:rPr>
              <w:t>treatment of municipal solid waste, incineration | municipal solid waste | Cutoff, S</w:t>
            </w:r>
          </w:p>
        </w:tc>
      </w:tr>
      <w:tr w:rsidR="00CB7851" w14:paraId="1F5EC475"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770ADBC2" w14:textId="77777777" w:rsidR="00CB7851" w:rsidRPr="00767BBA" w:rsidRDefault="00CB7851" w:rsidP="00767BBA">
            <w:pPr>
              <w:widowControl w:val="0"/>
              <w:pBdr>
                <w:top w:val="nil"/>
                <w:left w:val="nil"/>
                <w:bottom w:val="nil"/>
                <w:right w:val="nil"/>
                <w:between w:val="nil"/>
              </w:pBdr>
              <w:spacing w:line="276" w:lineRule="auto"/>
              <w:jc w:val="center"/>
              <w:rPr>
                <w:rFonts w:asciiTheme="majorHAnsi" w:eastAsia="Calibri" w:hAnsiTheme="majorHAnsi" w:cstheme="majorHAnsi"/>
              </w:rPr>
            </w:pPr>
          </w:p>
        </w:tc>
        <w:tc>
          <w:tcPr>
            <w:tcW w:w="2268" w:type="dxa"/>
            <w:gridSpan w:val="2"/>
            <w:vMerge/>
          </w:tcPr>
          <w:p w14:paraId="769D9384" w14:textId="77777777" w:rsidR="00CB7851" w:rsidRPr="00767BBA" w:rsidRDefault="00CB7851"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16311A7A"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Cardboard/</w:t>
            </w:r>
          </w:p>
          <w:p w14:paraId="74D186F8"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Paper Waste</w:t>
            </w:r>
          </w:p>
        </w:tc>
        <w:tc>
          <w:tcPr>
            <w:tcW w:w="4257" w:type="dxa"/>
            <w:gridSpan w:val="2"/>
          </w:tcPr>
          <w:p w14:paraId="2533D154" w14:textId="77777777" w:rsidR="00CB7851" w:rsidRPr="00767BBA" w:rsidRDefault="00CB7851" w:rsidP="00767B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 xml:space="preserve">treatment of </w:t>
            </w:r>
            <w:proofErr w:type="gramStart"/>
            <w:r w:rsidRPr="00767BBA">
              <w:rPr>
                <w:rFonts w:asciiTheme="majorHAnsi" w:eastAsia="Calibri" w:hAnsiTheme="majorHAnsi" w:cstheme="majorHAnsi"/>
                <w:color w:val="000000"/>
              </w:rPr>
              <w:t>waste paper</w:t>
            </w:r>
            <w:proofErr w:type="gramEnd"/>
            <w:r w:rsidRPr="00767BBA">
              <w:rPr>
                <w:rFonts w:asciiTheme="majorHAnsi" w:eastAsia="Calibri" w:hAnsiTheme="majorHAnsi" w:cstheme="majorHAnsi"/>
                <w:color w:val="000000"/>
              </w:rPr>
              <w:t>, unsorted, sorting | waste paper, sorted | Cutoff, S</w:t>
            </w:r>
          </w:p>
          <w:p w14:paraId="4FF25975" w14:textId="77777777" w:rsidR="00CB7851" w:rsidRPr="00767BBA" w:rsidRDefault="00CB7851"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767BBA" w14:paraId="58EDF4CB"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161ED478" w14:textId="77777777" w:rsidR="00767BBA" w:rsidRPr="00767BBA" w:rsidRDefault="00767BBA" w:rsidP="00767BBA">
            <w:pPr>
              <w:jc w:val="center"/>
              <w:rPr>
                <w:rFonts w:asciiTheme="majorHAnsi" w:eastAsia="Calibri" w:hAnsiTheme="majorHAnsi" w:cstheme="majorHAnsi"/>
              </w:rPr>
            </w:pPr>
            <w:r w:rsidRPr="00767BBA">
              <w:rPr>
                <w:rFonts w:asciiTheme="majorHAnsi" w:eastAsia="Calibri" w:hAnsiTheme="majorHAnsi" w:cstheme="majorHAnsi"/>
              </w:rPr>
              <w:t>Infrastructure</w:t>
            </w:r>
          </w:p>
        </w:tc>
        <w:tc>
          <w:tcPr>
            <w:tcW w:w="2268" w:type="dxa"/>
            <w:gridSpan w:val="2"/>
            <w:vMerge w:val="restart"/>
          </w:tcPr>
          <w:p w14:paraId="37C9CFC5" w14:textId="29C44794"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767BBA">
              <w:rPr>
                <w:rFonts w:asciiTheme="majorHAnsi" w:eastAsia="Calibri" w:hAnsiTheme="majorHAnsi" w:cstheme="majorHAnsi"/>
                <w:b/>
              </w:rPr>
              <w:t>Infra</w:t>
            </w:r>
            <w:r w:rsidR="002B773D">
              <w:rPr>
                <w:rFonts w:asciiTheme="majorHAnsi" w:eastAsia="Calibri" w:hAnsiTheme="majorHAnsi" w:cstheme="majorHAnsi"/>
                <w:b/>
              </w:rPr>
              <w:t>.</w:t>
            </w:r>
          </w:p>
        </w:tc>
        <w:tc>
          <w:tcPr>
            <w:tcW w:w="1555" w:type="dxa"/>
          </w:tcPr>
          <w:p w14:paraId="543479AE"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Greenhouse Structure</w:t>
            </w:r>
          </w:p>
        </w:tc>
        <w:tc>
          <w:tcPr>
            <w:tcW w:w="4257" w:type="dxa"/>
            <w:gridSpan w:val="2"/>
          </w:tcPr>
          <w:p w14:paraId="7C2CDC21" w14:textId="77777777" w:rsidR="00767BBA" w:rsidRPr="00767BBA" w:rsidRDefault="00767BBA" w:rsidP="00767B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greenhouse, glass walls and roof | greenhouse, glass walls and roof | Cutoff, S</w:t>
            </w:r>
          </w:p>
          <w:p w14:paraId="6005C89C"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2B773D" w14:paraId="04EEBCBB"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3BD4EDB5"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72B00A0C" w14:textId="77777777" w:rsidR="00767BBA" w:rsidRPr="00767BBA" w:rsidRDefault="00767BBA"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667E71A2"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Other Buildings</w:t>
            </w:r>
          </w:p>
        </w:tc>
        <w:tc>
          <w:tcPr>
            <w:tcW w:w="4257" w:type="dxa"/>
            <w:gridSpan w:val="2"/>
          </w:tcPr>
          <w:p w14:paraId="1BDA36AF" w14:textId="77777777" w:rsidR="00767BBA" w:rsidRPr="00767BBA" w:rsidRDefault="00767BBA" w:rsidP="00767B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building, hall, steel construction | building, hall, steel construction | Cutoff, S</w:t>
            </w:r>
          </w:p>
          <w:p w14:paraId="1D70A175"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767BBA" w14:paraId="45E3907B"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55CB0063"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67DAC77B" w14:textId="77777777" w:rsidR="00767BBA" w:rsidRPr="00767BBA" w:rsidRDefault="00767BBA"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4F239AA4"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Pellets Furnace</w:t>
            </w:r>
          </w:p>
        </w:tc>
        <w:tc>
          <w:tcPr>
            <w:tcW w:w="4257" w:type="dxa"/>
            <w:gridSpan w:val="2"/>
          </w:tcPr>
          <w:p w14:paraId="23F06111" w14:textId="77777777" w:rsidR="00767BBA" w:rsidRPr="00767BBA" w:rsidRDefault="00767BBA" w:rsidP="00767B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furnace, pellets, with silo, 300kW | furnace, pellets, with silo, 300kW | Cutoff, S</w:t>
            </w:r>
          </w:p>
          <w:p w14:paraId="57C89AB2"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2B773D" w14:paraId="45F2E27E"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462A9527"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6AA8C42B" w14:textId="77777777" w:rsidR="00767BBA" w:rsidRPr="00767BBA" w:rsidRDefault="00767BBA"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677A9F01"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HPS Light Fixtures</w:t>
            </w:r>
          </w:p>
        </w:tc>
        <w:tc>
          <w:tcPr>
            <w:tcW w:w="4257" w:type="dxa"/>
            <w:gridSpan w:val="2"/>
          </w:tcPr>
          <w:p w14:paraId="6632CD17"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rPr>
            </w:pPr>
            <w:r w:rsidRPr="00767BBA">
              <w:rPr>
                <w:rFonts w:asciiTheme="majorHAnsi" w:eastAsia="Calibri" w:hAnsiTheme="majorHAnsi" w:cstheme="majorHAnsi"/>
                <w:i/>
                <w:iCs/>
              </w:rPr>
              <w:t>See info in section on lighting below</w:t>
            </w:r>
          </w:p>
        </w:tc>
      </w:tr>
      <w:tr w:rsidR="00767BBA" w14:paraId="14DBC9A3"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43CF1A5C"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7B331F86" w14:textId="77777777" w:rsidR="00767BBA" w:rsidRPr="00767BBA" w:rsidRDefault="00767BBA"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734D4B4B" w14:textId="7B33F269"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LED</w:t>
            </w:r>
          </w:p>
        </w:tc>
        <w:tc>
          <w:tcPr>
            <w:tcW w:w="4257" w:type="dxa"/>
            <w:gridSpan w:val="2"/>
          </w:tcPr>
          <w:p w14:paraId="774E6092" w14:textId="5839804B"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i/>
                <w:iCs/>
              </w:rPr>
              <w:t>See info in section on lighting below</w:t>
            </w:r>
          </w:p>
        </w:tc>
      </w:tr>
      <w:tr w:rsidR="00767BBA" w14:paraId="36196CB7"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11E7CE46"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04E10663" w14:textId="77777777" w:rsidR="00767BBA" w:rsidRPr="00767BBA" w:rsidRDefault="00767BBA"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47BEA4DC"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Tanks</w:t>
            </w:r>
          </w:p>
        </w:tc>
        <w:tc>
          <w:tcPr>
            <w:tcW w:w="4257" w:type="dxa"/>
            <w:gridSpan w:val="2"/>
          </w:tcPr>
          <w:p w14:paraId="77C75BCB"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2B773D" w14:paraId="1B74368B"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086C669A"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41A8C550" w14:textId="77777777" w:rsidR="00767BBA" w:rsidRPr="00767BBA" w:rsidRDefault="00767BBA"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02A65DB7"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Pumps</w:t>
            </w:r>
          </w:p>
        </w:tc>
        <w:tc>
          <w:tcPr>
            <w:tcW w:w="4257" w:type="dxa"/>
            <w:gridSpan w:val="2"/>
          </w:tcPr>
          <w:p w14:paraId="4365EC2E" w14:textId="77777777" w:rsidR="00767BBA" w:rsidRPr="00767BBA" w:rsidRDefault="00767BBA" w:rsidP="00767B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pump production, 40W | pump, 40W | Cutoff, S</w:t>
            </w:r>
          </w:p>
          <w:p w14:paraId="38226B1E"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767BBA" w14:paraId="275B0762" w14:textId="77777777" w:rsidTr="002B773D">
        <w:trPr>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545D2166"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13D73B05" w14:textId="77777777" w:rsidR="00767BBA" w:rsidRPr="00767BBA" w:rsidRDefault="00767BBA" w:rsidP="00767BB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1555" w:type="dxa"/>
          </w:tcPr>
          <w:p w14:paraId="42FFF70C"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Piping</w:t>
            </w:r>
          </w:p>
        </w:tc>
        <w:tc>
          <w:tcPr>
            <w:tcW w:w="4257" w:type="dxa"/>
            <w:gridSpan w:val="2"/>
          </w:tcPr>
          <w:p w14:paraId="70B56518" w14:textId="77777777" w:rsidR="00767BBA" w:rsidRPr="00767BBA" w:rsidRDefault="00767BBA" w:rsidP="00767B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polyethylene pipe production, DN 200, SDR 41 | polyethylene pipe, DN 200, SDR 41 | Cutoff, S</w:t>
            </w:r>
          </w:p>
          <w:p w14:paraId="79F42C79"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2B773D" w14:paraId="03495E34" w14:textId="77777777" w:rsidTr="002B77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tcPr>
          <w:p w14:paraId="6A3703F4"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2268" w:type="dxa"/>
            <w:gridSpan w:val="2"/>
            <w:vMerge/>
          </w:tcPr>
          <w:p w14:paraId="5B9FA12C" w14:textId="77777777" w:rsidR="00767BBA" w:rsidRPr="00767BBA" w:rsidRDefault="00767BBA" w:rsidP="00767BB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1555" w:type="dxa"/>
          </w:tcPr>
          <w:p w14:paraId="15F706A7"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Other Equipment (Bagging/Conveyors)</w:t>
            </w:r>
          </w:p>
        </w:tc>
        <w:tc>
          <w:tcPr>
            <w:tcW w:w="4257" w:type="dxa"/>
            <w:gridSpan w:val="2"/>
          </w:tcPr>
          <w:p w14:paraId="40C6FD33" w14:textId="77777777" w:rsidR="00767BBA" w:rsidRPr="00767BBA" w:rsidRDefault="00767BBA" w:rsidP="00767B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market for electronic component, passive, unspecified | electronic component, passive, unspecified | Cutoff, S</w:t>
            </w:r>
          </w:p>
          <w:p w14:paraId="2CEC60C6"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2B773D" w14:paraId="4CDA7A92" w14:textId="77777777" w:rsidTr="002B773D">
        <w:trPr>
          <w:gridAfter w:val="1"/>
          <w:wAfter w:w="7" w:type="dxa"/>
          <w:trHeight w:val="300"/>
        </w:trPr>
        <w:tc>
          <w:tcPr>
            <w:cnfStyle w:val="001000000000" w:firstRow="0" w:lastRow="0" w:firstColumn="1" w:lastColumn="0" w:oddVBand="0" w:evenVBand="0" w:oddHBand="0" w:evenHBand="0" w:firstRowFirstColumn="0" w:firstRowLastColumn="0" w:lastRowFirstColumn="0" w:lastRowLastColumn="0"/>
            <w:tcW w:w="3402" w:type="dxa"/>
            <w:gridSpan w:val="3"/>
            <w:vMerge w:val="restart"/>
          </w:tcPr>
          <w:p w14:paraId="061C1AA3" w14:textId="77777777" w:rsidR="00767BBA" w:rsidRPr="00767BBA" w:rsidRDefault="00767BBA" w:rsidP="00767BBA">
            <w:pPr>
              <w:widowControl w:val="0"/>
              <w:pBdr>
                <w:top w:val="nil"/>
                <w:left w:val="nil"/>
                <w:bottom w:val="nil"/>
                <w:right w:val="nil"/>
                <w:between w:val="nil"/>
              </w:pBdr>
              <w:spacing w:line="276" w:lineRule="auto"/>
              <w:jc w:val="center"/>
              <w:rPr>
                <w:rFonts w:asciiTheme="majorHAnsi" w:eastAsia="Calibri" w:hAnsiTheme="majorHAnsi" w:cstheme="majorHAnsi"/>
              </w:rPr>
            </w:pPr>
            <w:r w:rsidRPr="00767BBA">
              <w:rPr>
                <w:rFonts w:asciiTheme="majorHAnsi" w:eastAsia="Calibri" w:hAnsiTheme="majorHAnsi" w:cstheme="majorHAnsi"/>
              </w:rPr>
              <w:t>Transportation</w:t>
            </w:r>
          </w:p>
        </w:tc>
        <w:tc>
          <w:tcPr>
            <w:tcW w:w="1555" w:type="dxa"/>
          </w:tcPr>
          <w:p w14:paraId="7F36A20C"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Truck</w:t>
            </w:r>
          </w:p>
        </w:tc>
        <w:tc>
          <w:tcPr>
            <w:tcW w:w="4250" w:type="dxa"/>
          </w:tcPr>
          <w:p w14:paraId="6DF3A775" w14:textId="0C36DB36" w:rsidR="00767BBA" w:rsidRPr="00767BBA" w:rsidRDefault="00767BBA" w:rsidP="00767BB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 xml:space="preserve">market for transport, freight, lorry 28 metric ton, vegetable oil methyl ester 100% | </w:t>
            </w:r>
            <w:r w:rsidR="00803C3C">
              <w:rPr>
                <w:rFonts w:asciiTheme="majorHAnsi" w:eastAsia="Calibri" w:hAnsiTheme="majorHAnsi" w:cstheme="majorHAnsi"/>
                <w:color w:val="000000"/>
              </w:rPr>
              <w:t>t</w:t>
            </w:r>
            <w:r w:rsidRPr="00767BBA">
              <w:rPr>
                <w:rFonts w:asciiTheme="majorHAnsi" w:eastAsia="Calibri" w:hAnsiTheme="majorHAnsi" w:cstheme="majorHAnsi"/>
                <w:color w:val="000000"/>
              </w:rPr>
              <w:t>ransport, freight, lorry 28 metric ton, vegetable oil methyl ester 100% | Cutoff, S</w:t>
            </w:r>
          </w:p>
          <w:p w14:paraId="376C3282" w14:textId="77777777" w:rsidR="00767BBA" w:rsidRPr="00767BBA" w:rsidRDefault="00767BBA" w:rsidP="00767BBA">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r>
      <w:tr w:rsidR="00767BBA" w14:paraId="1DD0CF40" w14:textId="77777777" w:rsidTr="002B773D">
        <w:trPr>
          <w:gridAfter w:val="1"/>
          <w:cnfStyle w:val="000000100000" w:firstRow="0" w:lastRow="0" w:firstColumn="0" w:lastColumn="0" w:oddVBand="0" w:evenVBand="0" w:oddHBand="1" w:evenHBand="0" w:firstRowFirstColumn="0" w:firstRowLastColumn="0" w:lastRowFirstColumn="0" w:lastRowLastColumn="0"/>
          <w:wAfter w:w="7" w:type="dxa"/>
          <w:trHeight w:val="300"/>
        </w:trPr>
        <w:tc>
          <w:tcPr>
            <w:cnfStyle w:val="001000000000" w:firstRow="0" w:lastRow="0" w:firstColumn="1" w:lastColumn="0" w:oddVBand="0" w:evenVBand="0" w:oddHBand="0" w:evenHBand="0" w:firstRowFirstColumn="0" w:firstRowLastColumn="0" w:lastRowFirstColumn="0" w:lastRowLastColumn="0"/>
            <w:tcW w:w="3402" w:type="dxa"/>
            <w:gridSpan w:val="3"/>
            <w:vMerge/>
          </w:tcPr>
          <w:p w14:paraId="749D089B" w14:textId="77777777" w:rsidR="00767BBA" w:rsidRPr="00767BBA" w:rsidRDefault="00767BBA" w:rsidP="00767BBA">
            <w:pPr>
              <w:widowControl w:val="0"/>
              <w:pBdr>
                <w:top w:val="nil"/>
                <w:left w:val="nil"/>
                <w:bottom w:val="nil"/>
                <w:right w:val="nil"/>
                <w:between w:val="nil"/>
              </w:pBdr>
              <w:spacing w:line="276" w:lineRule="auto"/>
              <w:rPr>
                <w:rFonts w:asciiTheme="majorHAnsi" w:eastAsia="Calibri" w:hAnsiTheme="majorHAnsi" w:cstheme="majorHAnsi"/>
              </w:rPr>
            </w:pPr>
          </w:p>
        </w:tc>
        <w:tc>
          <w:tcPr>
            <w:tcW w:w="1555" w:type="dxa"/>
          </w:tcPr>
          <w:p w14:paraId="47600CC8"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767BBA">
              <w:rPr>
                <w:rFonts w:asciiTheme="majorHAnsi" w:eastAsia="Calibri" w:hAnsiTheme="majorHAnsi" w:cstheme="majorHAnsi"/>
              </w:rPr>
              <w:t>Car</w:t>
            </w:r>
          </w:p>
        </w:tc>
        <w:tc>
          <w:tcPr>
            <w:tcW w:w="4250" w:type="dxa"/>
          </w:tcPr>
          <w:p w14:paraId="4AD732D7" w14:textId="77777777" w:rsidR="00767BBA" w:rsidRPr="00767BBA" w:rsidRDefault="00767BBA" w:rsidP="00767BBA">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rPr>
            </w:pPr>
            <w:r w:rsidRPr="00767BBA">
              <w:rPr>
                <w:rFonts w:asciiTheme="majorHAnsi" w:eastAsia="Calibri" w:hAnsiTheme="majorHAnsi" w:cstheme="majorHAnsi"/>
                <w:color w:val="000000"/>
              </w:rPr>
              <w:t>transport, passenger car, electric | transport, passenger car, electric | Cutoff, S</w:t>
            </w:r>
          </w:p>
          <w:p w14:paraId="3CC6484F" w14:textId="77777777" w:rsidR="00767BBA" w:rsidRPr="00767BBA" w:rsidRDefault="00767BBA" w:rsidP="00767BB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bl>
    <w:p w14:paraId="22198AC6" w14:textId="77777777" w:rsidR="006115F2" w:rsidRDefault="006115F2" w:rsidP="006115F2"/>
    <w:p w14:paraId="0000012C" w14:textId="69F818F7" w:rsidR="00511004" w:rsidRDefault="00C93E4B" w:rsidP="004F245A">
      <w:pPr>
        <w:pStyle w:val="Heading1"/>
      </w:pPr>
      <w:r>
        <w:t>Scenario Assumptions</w:t>
      </w:r>
    </w:p>
    <w:p w14:paraId="6DE29E2F" w14:textId="1B670AB1" w:rsidR="00A52708" w:rsidRDefault="00A52708" w:rsidP="00A52708">
      <w:r>
        <w:t xml:space="preserve">Table S2 provides an account of changes made to the scenarios longitudinally, starting with the Original (2014) scenario. See descriptions below, and in the main text, for further information about the changes. </w:t>
      </w:r>
    </w:p>
    <w:p w14:paraId="5B11DA80" w14:textId="56F8552A" w:rsidR="00031F47" w:rsidRDefault="00031F47" w:rsidP="00A52708"/>
    <w:p w14:paraId="0FE7FEFB" w14:textId="522DAB0A" w:rsidR="00031F47" w:rsidRDefault="00031F47" w:rsidP="00A52708"/>
    <w:p w14:paraId="3D077FE4" w14:textId="63C21ED3" w:rsidR="00031F47" w:rsidRDefault="00031F47" w:rsidP="00A52708"/>
    <w:p w14:paraId="29256C0E" w14:textId="1BAF220A" w:rsidR="00031F47" w:rsidRDefault="00031F47" w:rsidP="00A52708"/>
    <w:p w14:paraId="28B9A204" w14:textId="748938C2" w:rsidR="00031F47" w:rsidRDefault="00031F47" w:rsidP="00A52708"/>
    <w:p w14:paraId="4F536B5A" w14:textId="4E4A45B8" w:rsidR="00031F47" w:rsidRDefault="00031F47" w:rsidP="00A52708"/>
    <w:p w14:paraId="12617E83" w14:textId="413F12D3" w:rsidR="00031F47" w:rsidRDefault="00031F47" w:rsidP="00A52708"/>
    <w:p w14:paraId="2BC1FB13" w14:textId="4BC9DA40" w:rsidR="00031F47" w:rsidRDefault="00031F47" w:rsidP="00A52708"/>
    <w:p w14:paraId="19C694A1" w14:textId="7240B3FC" w:rsidR="00031F47" w:rsidRDefault="00031F47" w:rsidP="00A52708"/>
    <w:p w14:paraId="3745C009" w14:textId="77777777" w:rsidR="00031F47" w:rsidRDefault="00031F47" w:rsidP="00A52708"/>
    <w:p w14:paraId="1B7B0ED7" w14:textId="4D10137F" w:rsidR="00A52708" w:rsidRDefault="00A52708" w:rsidP="00A52708">
      <w:pPr>
        <w:keepNext/>
        <w:pBdr>
          <w:top w:val="nil"/>
          <w:left w:val="nil"/>
          <w:bottom w:val="nil"/>
          <w:right w:val="nil"/>
          <w:between w:val="nil"/>
        </w:pBdr>
        <w:spacing w:after="200" w:line="240" w:lineRule="auto"/>
        <w:rPr>
          <w:i/>
          <w:color w:val="44546A"/>
          <w:sz w:val="18"/>
          <w:szCs w:val="18"/>
        </w:rPr>
      </w:pPr>
      <w:r>
        <w:rPr>
          <w:i/>
          <w:color w:val="44546A"/>
          <w:sz w:val="18"/>
          <w:szCs w:val="18"/>
        </w:rPr>
        <w:lastRenderedPageBreak/>
        <w:t xml:space="preserve">Table S2: </w:t>
      </w:r>
      <w:r w:rsidR="00C11160">
        <w:rPr>
          <w:i/>
          <w:color w:val="44546A"/>
          <w:sz w:val="18"/>
          <w:szCs w:val="18"/>
        </w:rPr>
        <w:t>Overview of changes made in the different scenarios compared to the corresponding previous scenarios</w:t>
      </w:r>
    </w:p>
    <w:tbl>
      <w:tblPr>
        <w:tblStyle w:val="GridTable6Colorful-Accent2"/>
        <w:tblW w:w="8322" w:type="dxa"/>
        <w:tblLook w:val="04A0" w:firstRow="1" w:lastRow="0" w:firstColumn="1" w:lastColumn="0" w:noHBand="0" w:noVBand="1"/>
      </w:tblPr>
      <w:tblGrid>
        <w:gridCol w:w="1397"/>
        <w:gridCol w:w="7051"/>
      </w:tblGrid>
      <w:tr w:rsidR="00C11160" w:rsidRPr="00A52708" w14:paraId="2ACCD26D" w14:textId="77777777" w:rsidTr="00C11160">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271" w:type="dxa"/>
            <w:shd w:val="clear" w:color="auto" w:fill="767171" w:themeFill="background2" w:themeFillShade="80"/>
            <w:noWrap/>
            <w:hideMark/>
          </w:tcPr>
          <w:p w14:paraId="7CF52426" w14:textId="4B295F18" w:rsidR="00A52708" w:rsidRPr="00A52708" w:rsidRDefault="00A52708" w:rsidP="00A52708">
            <w:pPr>
              <w:spacing w:line="240" w:lineRule="auto"/>
              <w:rPr>
                <w:rFonts w:ascii="Calibri" w:eastAsia="Times New Roman" w:hAnsi="Calibri" w:cs="Calibri"/>
                <w:color w:val="FFFFFF" w:themeColor="background1"/>
                <w:w w:val="100"/>
                <w:sz w:val="22"/>
                <w:szCs w:val="22"/>
                <w:lang w:val="sv-SE"/>
              </w:rPr>
            </w:pPr>
            <w:proofErr w:type="spellStart"/>
            <w:r w:rsidRPr="00A52708">
              <w:rPr>
                <w:rFonts w:ascii="Calibri" w:eastAsia="Times New Roman" w:hAnsi="Calibri" w:cs="Calibri"/>
                <w:color w:val="FFFFFF" w:themeColor="background1"/>
                <w:w w:val="100"/>
                <w:sz w:val="22"/>
                <w:szCs w:val="22"/>
                <w:lang w:val="sv-SE"/>
              </w:rPr>
              <w:t>Past</w:t>
            </w:r>
            <w:proofErr w:type="spellEnd"/>
            <w:r w:rsidR="00C11160" w:rsidRPr="00076A03">
              <w:rPr>
                <w:rFonts w:ascii="Calibri" w:eastAsia="Times New Roman" w:hAnsi="Calibri" w:cs="Calibri"/>
                <w:color w:val="FFFFFF" w:themeColor="background1"/>
                <w:w w:val="100"/>
                <w:sz w:val="22"/>
                <w:szCs w:val="22"/>
                <w:lang w:val="sv-SE"/>
              </w:rPr>
              <w:t>/</w:t>
            </w:r>
            <w:proofErr w:type="spellStart"/>
            <w:r w:rsidR="00C11160" w:rsidRPr="00076A03">
              <w:rPr>
                <w:rFonts w:ascii="Calibri" w:eastAsia="Times New Roman" w:hAnsi="Calibri" w:cs="Calibri"/>
                <w:color w:val="FFFFFF" w:themeColor="background1"/>
                <w:w w:val="100"/>
                <w:sz w:val="22"/>
                <w:szCs w:val="22"/>
                <w:lang w:val="sv-SE"/>
              </w:rPr>
              <w:t>Current</w:t>
            </w:r>
            <w:proofErr w:type="spellEnd"/>
            <w:r w:rsidRPr="00A52708">
              <w:rPr>
                <w:rFonts w:ascii="Calibri" w:eastAsia="Times New Roman" w:hAnsi="Calibri" w:cs="Calibri"/>
                <w:color w:val="FFFFFF" w:themeColor="background1"/>
                <w:w w:val="100"/>
                <w:sz w:val="22"/>
                <w:szCs w:val="22"/>
                <w:lang w:val="sv-SE"/>
              </w:rPr>
              <w:t xml:space="preserve"> Scenarios</w:t>
            </w:r>
          </w:p>
        </w:tc>
        <w:tc>
          <w:tcPr>
            <w:tcW w:w="7051" w:type="dxa"/>
            <w:shd w:val="clear" w:color="auto" w:fill="767171" w:themeFill="background2" w:themeFillShade="80"/>
            <w:noWrap/>
            <w:hideMark/>
          </w:tcPr>
          <w:p w14:paraId="6378C28F" w14:textId="46BC8FEA" w:rsidR="00A52708" w:rsidRPr="00A52708" w:rsidRDefault="00A52708" w:rsidP="00A52708">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w w:val="100"/>
                <w:sz w:val="22"/>
                <w:szCs w:val="22"/>
              </w:rPr>
            </w:pPr>
            <w:r w:rsidRPr="00A52708">
              <w:rPr>
                <w:rFonts w:ascii="Calibri" w:eastAsia="Times New Roman" w:hAnsi="Calibri" w:cs="Calibri"/>
                <w:color w:val="FFFFFF" w:themeColor="background1"/>
                <w:w w:val="100"/>
                <w:sz w:val="22"/>
                <w:szCs w:val="22"/>
              </w:rPr>
              <w:t xml:space="preserve">Change </w:t>
            </w:r>
            <w:r w:rsidR="00C11160" w:rsidRPr="00076A03">
              <w:rPr>
                <w:rFonts w:ascii="Calibri" w:eastAsia="Times New Roman" w:hAnsi="Calibri" w:cs="Calibri"/>
                <w:color w:val="FFFFFF" w:themeColor="background1"/>
                <w:w w:val="100"/>
                <w:sz w:val="22"/>
                <w:szCs w:val="22"/>
              </w:rPr>
              <w:t>made compared to Previous Scenario</w:t>
            </w:r>
          </w:p>
        </w:tc>
      </w:tr>
      <w:tr w:rsidR="00A52708" w:rsidRPr="00A52708" w14:paraId="1936B744" w14:textId="77777777" w:rsidTr="00C11160">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1271" w:type="dxa"/>
            <w:hideMark/>
          </w:tcPr>
          <w:p w14:paraId="41318E87" w14:textId="77777777" w:rsidR="00A52708" w:rsidRPr="00A52708" w:rsidRDefault="00A52708" w:rsidP="00A52708">
            <w:pPr>
              <w:spacing w:line="240" w:lineRule="auto"/>
              <w:rPr>
                <w:rFonts w:ascii="Calibri" w:eastAsia="Times New Roman" w:hAnsi="Calibri" w:cs="Calibri"/>
                <w:b w:val="0"/>
                <w:bCs w:val="0"/>
                <w:color w:val="000000"/>
                <w:w w:val="100"/>
                <w:lang w:val="sv-SE"/>
              </w:rPr>
            </w:pPr>
            <w:proofErr w:type="spellStart"/>
            <w:r w:rsidRPr="00A52708">
              <w:rPr>
                <w:rFonts w:ascii="Calibri" w:eastAsia="Times New Roman" w:hAnsi="Calibri" w:cs="Calibri"/>
                <w:b w:val="0"/>
                <w:bCs w:val="0"/>
                <w:color w:val="000000"/>
                <w:w w:val="100"/>
                <w:lang w:val="sv-SE"/>
              </w:rPr>
              <w:t>Organic</w:t>
            </w:r>
            <w:proofErr w:type="spellEnd"/>
            <w:r w:rsidRPr="00A52708">
              <w:rPr>
                <w:rFonts w:ascii="Calibri" w:eastAsia="Times New Roman" w:hAnsi="Calibri" w:cs="Calibri"/>
                <w:b w:val="0"/>
                <w:bCs w:val="0"/>
                <w:color w:val="000000"/>
                <w:w w:val="100"/>
                <w:lang w:val="sv-SE"/>
              </w:rPr>
              <w:t xml:space="preserve"> </w:t>
            </w:r>
            <w:proofErr w:type="spellStart"/>
            <w:r w:rsidRPr="00A52708">
              <w:rPr>
                <w:rFonts w:ascii="Calibri" w:eastAsia="Times New Roman" w:hAnsi="Calibri" w:cs="Calibri"/>
                <w:b w:val="0"/>
                <w:bCs w:val="0"/>
                <w:color w:val="000000"/>
                <w:w w:val="100"/>
                <w:lang w:val="sv-SE"/>
              </w:rPr>
              <w:t>Fertilizer</w:t>
            </w:r>
            <w:proofErr w:type="spellEnd"/>
            <w:r w:rsidRPr="00A52708">
              <w:rPr>
                <w:rFonts w:ascii="Calibri" w:eastAsia="Times New Roman" w:hAnsi="Calibri" w:cs="Calibri"/>
                <w:b w:val="0"/>
                <w:bCs w:val="0"/>
                <w:color w:val="000000"/>
                <w:w w:val="100"/>
                <w:lang w:val="sv-SE"/>
              </w:rPr>
              <w:t xml:space="preserve"> (2016)</w:t>
            </w:r>
          </w:p>
        </w:tc>
        <w:tc>
          <w:tcPr>
            <w:tcW w:w="7051" w:type="dxa"/>
            <w:noWrap/>
            <w:hideMark/>
          </w:tcPr>
          <w:p w14:paraId="2066A994" w14:textId="7EC2E463" w:rsidR="00A52708" w:rsidRDefault="00A52708" w:rsidP="00A52708">
            <w:pPr>
              <w:pStyle w:val="ListParagraph"/>
              <w:numPr>
                <w:ilvl w:val="0"/>
                <w:numId w:val="3"/>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sidRPr="00A52708">
              <w:rPr>
                <w:rFonts w:ascii="Calibri" w:eastAsia="Times New Roman" w:hAnsi="Calibri" w:cs="Calibri"/>
                <w:color w:val="000000"/>
                <w:w w:val="100"/>
              </w:rPr>
              <w:t>Conventional Fertilizers Replaced with Organic Fertilizers</w:t>
            </w:r>
          </w:p>
          <w:p w14:paraId="2535BA3F" w14:textId="384175B4" w:rsidR="00A52708" w:rsidRPr="00C11160" w:rsidRDefault="00A52708" w:rsidP="00C11160">
            <w:pPr>
              <w:pStyle w:val="ListParagraph"/>
              <w:numPr>
                <w:ilvl w:val="0"/>
                <w:numId w:val="3"/>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Additional infrastructure for nitrification processes</w:t>
            </w:r>
          </w:p>
        </w:tc>
      </w:tr>
      <w:tr w:rsidR="00A52708" w:rsidRPr="00A52708" w14:paraId="64F235D9" w14:textId="77777777" w:rsidTr="00A52708">
        <w:trPr>
          <w:trHeight w:val="1055"/>
        </w:trPr>
        <w:tc>
          <w:tcPr>
            <w:cnfStyle w:val="001000000000" w:firstRow="0" w:lastRow="0" w:firstColumn="1" w:lastColumn="0" w:oddVBand="0" w:evenVBand="0" w:oddHBand="0" w:evenHBand="0" w:firstRowFirstColumn="0" w:firstRowLastColumn="0" w:lastRowFirstColumn="0" w:lastRowLastColumn="0"/>
            <w:tcW w:w="1271" w:type="dxa"/>
          </w:tcPr>
          <w:p w14:paraId="63215DE7" w14:textId="4FD187A6" w:rsidR="00A52708" w:rsidRPr="00A52708" w:rsidRDefault="00A52708" w:rsidP="00A52708">
            <w:pPr>
              <w:spacing w:line="240" w:lineRule="auto"/>
              <w:rPr>
                <w:rFonts w:ascii="Calibri" w:eastAsia="Times New Roman" w:hAnsi="Calibri" w:cs="Calibri"/>
                <w:b w:val="0"/>
                <w:bCs w:val="0"/>
                <w:color w:val="000000"/>
                <w:w w:val="100"/>
                <w:lang w:val="sv-SE"/>
              </w:rPr>
            </w:pPr>
            <w:r w:rsidRPr="00A52708">
              <w:rPr>
                <w:rFonts w:ascii="Calibri" w:eastAsia="Times New Roman" w:hAnsi="Calibri" w:cs="Calibri"/>
                <w:b w:val="0"/>
                <w:bCs w:val="0"/>
                <w:color w:val="000000"/>
                <w:w w:val="100"/>
                <w:lang w:val="sv-SE"/>
              </w:rPr>
              <w:t xml:space="preserve">Pellet </w:t>
            </w:r>
            <w:proofErr w:type="spellStart"/>
            <w:r w:rsidRPr="00A52708">
              <w:rPr>
                <w:rFonts w:ascii="Calibri" w:eastAsia="Times New Roman" w:hAnsi="Calibri" w:cs="Calibri"/>
                <w:b w:val="0"/>
                <w:bCs w:val="0"/>
                <w:color w:val="000000"/>
                <w:w w:val="100"/>
                <w:lang w:val="sv-SE"/>
              </w:rPr>
              <w:t>Burner</w:t>
            </w:r>
            <w:proofErr w:type="spellEnd"/>
            <w:r w:rsidRPr="00A52708">
              <w:rPr>
                <w:rFonts w:ascii="Calibri" w:eastAsia="Times New Roman" w:hAnsi="Calibri" w:cs="Calibri"/>
                <w:b w:val="0"/>
                <w:bCs w:val="0"/>
                <w:color w:val="000000"/>
                <w:w w:val="100"/>
                <w:lang w:val="sv-SE"/>
              </w:rPr>
              <w:t xml:space="preserve"> (2018)</w:t>
            </w:r>
          </w:p>
        </w:tc>
        <w:tc>
          <w:tcPr>
            <w:tcW w:w="7051" w:type="dxa"/>
            <w:noWrap/>
          </w:tcPr>
          <w:p w14:paraId="7D5A417D" w14:textId="77777777" w:rsidR="00A52708" w:rsidRPr="00A52708" w:rsidRDefault="00A52708" w:rsidP="00A52708">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w w:val="100"/>
              </w:rPr>
            </w:pPr>
            <w:r w:rsidRPr="00A52708">
              <w:rPr>
                <w:rFonts w:ascii="Calibri" w:eastAsia="Times New Roman" w:hAnsi="Calibri" w:cs="Calibri"/>
                <w:color w:val="000000"/>
                <w:w w:val="100"/>
              </w:rPr>
              <w:t>Bio-oil burner changed to pellet burner</w:t>
            </w:r>
          </w:p>
          <w:p w14:paraId="121C5B96" w14:textId="266E07EA" w:rsidR="00A52708" w:rsidRPr="00A52708" w:rsidRDefault="00A52708" w:rsidP="00A52708">
            <w:pPr>
              <w:spacing w:line="240" w:lineRule="auto"/>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w w:val="100"/>
              </w:rPr>
            </w:pPr>
          </w:p>
        </w:tc>
      </w:tr>
      <w:tr w:rsidR="00A52708" w:rsidRPr="00A52708" w14:paraId="4EB4C70B" w14:textId="77777777" w:rsidTr="00A52708">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271" w:type="dxa"/>
          </w:tcPr>
          <w:p w14:paraId="35B10A33" w14:textId="7C34516C" w:rsidR="00A52708" w:rsidRPr="00D93752" w:rsidRDefault="00A52708" w:rsidP="00A52708">
            <w:pPr>
              <w:spacing w:line="240" w:lineRule="auto"/>
              <w:rPr>
                <w:rFonts w:ascii="Calibri" w:eastAsia="Times New Roman" w:hAnsi="Calibri" w:cs="Calibri"/>
                <w:b w:val="0"/>
                <w:bCs w:val="0"/>
                <w:color w:val="000000"/>
                <w:w w:val="100"/>
                <w:lang w:val="sv-SE"/>
              </w:rPr>
            </w:pPr>
            <w:proofErr w:type="spellStart"/>
            <w:r w:rsidRPr="00D93752">
              <w:rPr>
                <w:rFonts w:ascii="Calibri" w:eastAsia="Times New Roman" w:hAnsi="Calibri" w:cs="Calibri"/>
                <w:b w:val="0"/>
                <w:bCs w:val="0"/>
                <w:color w:val="000000"/>
                <w:w w:val="100"/>
                <w:lang w:val="sv-SE"/>
              </w:rPr>
              <w:t>Baseline</w:t>
            </w:r>
            <w:proofErr w:type="spellEnd"/>
            <w:r w:rsidRPr="00D93752">
              <w:rPr>
                <w:rFonts w:ascii="Calibri" w:eastAsia="Times New Roman" w:hAnsi="Calibri" w:cs="Calibri"/>
                <w:b w:val="0"/>
                <w:bCs w:val="0"/>
                <w:color w:val="000000"/>
                <w:w w:val="100"/>
                <w:lang w:val="sv-SE"/>
              </w:rPr>
              <w:t xml:space="preserve"> (2019)</w:t>
            </w:r>
          </w:p>
        </w:tc>
        <w:tc>
          <w:tcPr>
            <w:tcW w:w="7051" w:type="dxa"/>
            <w:noWrap/>
          </w:tcPr>
          <w:p w14:paraId="63E120D0" w14:textId="39B44CC2" w:rsidR="00A52708" w:rsidRPr="00A52708" w:rsidRDefault="00A52708" w:rsidP="00A52708">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Reduction in share of fossil fuels in transportation (inclusion of more biofuels). Previous scenarios assumed to have only 10% biofuels, while Baseline scenario has assumed 62% biofuels.</w:t>
            </w:r>
          </w:p>
        </w:tc>
      </w:tr>
      <w:tr w:rsidR="00A52708" w:rsidRPr="00A52708" w14:paraId="726E1259" w14:textId="77777777" w:rsidTr="00A52708">
        <w:trPr>
          <w:trHeight w:val="1055"/>
        </w:trPr>
        <w:tc>
          <w:tcPr>
            <w:cnfStyle w:val="001000000000" w:firstRow="0" w:lastRow="0" w:firstColumn="1" w:lastColumn="0" w:oddVBand="0" w:evenVBand="0" w:oddHBand="0" w:evenHBand="0" w:firstRowFirstColumn="0" w:firstRowLastColumn="0" w:lastRowFirstColumn="0" w:lastRowLastColumn="0"/>
            <w:tcW w:w="1271" w:type="dxa"/>
          </w:tcPr>
          <w:p w14:paraId="71AA99A7" w14:textId="37423F58" w:rsidR="00A52708" w:rsidRPr="00D93752" w:rsidRDefault="00A52708" w:rsidP="00A52708">
            <w:pPr>
              <w:spacing w:line="240" w:lineRule="auto"/>
              <w:rPr>
                <w:rFonts w:ascii="Calibri" w:eastAsia="Times New Roman" w:hAnsi="Calibri" w:cs="Calibri"/>
                <w:b w:val="0"/>
                <w:bCs w:val="0"/>
                <w:color w:val="000000"/>
                <w:w w:val="100"/>
              </w:rPr>
            </w:pPr>
            <w:r w:rsidRPr="00D93752">
              <w:rPr>
                <w:rFonts w:ascii="Calibri" w:eastAsia="Times New Roman" w:hAnsi="Calibri" w:cs="Calibri"/>
                <w:b w:val="0"/>
                <w:bCs w:val="0"/>
                <w:color w:val="000000"/>
                <w:w w:val="100"/>
              </w:rPr>
              <w:t>Current Scenario (2021)</w:t>
            </w:r>
          </w:p>
        </w:tc>
        <w:tc>
          <w:tcPr>
            <w:tcW w:w="7051" w:type="dxa"/>
            <w:noWrap/>
          </w:tcPr>
          <w:p w14:paraId="226836FB" w14:textId="7BA42CA2" w:rsidR="00A52708" w:rsidRDefault="00C11160" w:rsidP="00A52708">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Black PS pots and trays changed to green-recycled PP pots and trays</w:t>
            </w:r>
          </w:p>
          <w:p w14:paraId="38348117" w14:textId="7CE8B46C" w:rsidR="00C11160" w:rsidRPr="00C11160" w:rsidRDefault="00C11160" w:rsidP="00C11160">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Reduced weight in plastics</w:t>
            </w:r>
          </w:p>
          <w:p w14:paraId="38D58578" w14:textId="2138FDAA" w:rsidR="00C11160" w:rsidRPr="00A52708" w:rsidRDefault="00C11160" w:rsidP="00C11160">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w w:val="100"/>
              </w:rPr>
            </w:pPr>
          </w:p>
        </w:tc>
      </w:tr>
      <w:tr w:rsidR="00C11160" w:rsidRPr="00A52708" w14:paraId="7210BE2C" w14:textId="77777777" w:rsidTr="00C11160">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271" w:type="dxa"/>
            <w:shd w:val="clear" w:color="auto" w:fill="767171" w:themeFill="background2" w:themeFillShade="80"/>
          </w:tcPr>
          <w:p w14:paraId="149BB4A4" w14:textId="45A9BFBA" w:rsidR="00C11160" w:rsidRPr="00076A03" w:rsidRDefault="00C11160" w:rsidP="00C11160">
            <w:pPr>
              <w:spacing w:line="240" w:lineRule="auto"/>
              <w:rPr>
                <w:rFonts w:ascii="Calibri" w:eastAsia="Times New Roman" w:hAnsi="Calibri" w:cs="Calibri"/>
                <w:i/>
                <w:iCs/>
                <w:color w:val="FFFFFF" w:themeColor="background1"/>
                <w:w w:val="100"/>
              </w:rPr>
            </w:pPr>
            <w:proofErr w:type="spellStart"/>
            <w:r w:rsidRPr="00076A03">
              <w:rPr>
                <w:rFonts w:ascii="Calibri" w:eastAsia="Times New Roman" w:hAnsi="Calibri" w:cs="Calibri"/>
                <w:color w:val="FFFFFF" w:themeColor="background1"/>
                <w:w w:val="100"/>
                <w:sz w:val="22"/>
                <w:szCs w:val="22"/>
                <w:lang w:val="sv-SE"/>
              </w:rPr>
              <w:t>Future</w:t>
            </w:r>
            <w:proofErr w:type="spellEnd"/>
            <w:r w:rsidRPr="00076A03">
              <w:rPr>
                <w:rFonts w:ascii="Calibri" w:eastAsia="Times New Roman" w:hAnsi="Calibri" w:cs="Calibri"/>
                <w:color w:val="FFFFFF" w:themeColor="background1"/>
                <w:w w:val="100"/>
                <w:sz w:val="22"/>
                <w:szCs w:val="22"/>
                <w:lang w:val="sv-SE"/>
              </w:rPr>
              <w:t xml:space="preserve"> Scenarios</w:t>
            </w:r>
          </w:p>
        </w:tc>
        <w:tc>
          <w:tcPr>
            <w:tcW w:w="7051" w:type="dxa"/>
            <w:shd w:val="clear" w:color="auto" w:fill="767171" w:themeFill="background2" w:themeFillShade="80"/>
            <w:noWrap/>
          </w:tcPr>
          <w:p w14:paraId="346DC44E" w14:textId="45E5D92E" w:rsidR="00C11160" w:rsidRPr="00076A03" w:rsidRDefault="00C11160" w:rsidP="00C11160">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w w:val="100"/>
              </w:rPr>
            </w:pPr>
            <w:r w:rsidRPr="00076A03">
              <w:rPr>
                <w:rFonts w:ascii="Calibri" w:eastAsia="Times New Roman" w:hAnsi="Calibri" w:cs="Calibri"/>
                <w:b/>
                <w:bCs/>
                <w:color w:val="FFFFFF" w:themeColor="background1"/>
                <w:w w:val="100"/>
                <w:sz w:val="22"/>
                <w:szCs w:val="22"/>
              </w:rPr>
              <w:t>Change made compared to Current Scenario</w:t>
            </w:r>
          </w:p>
        </w:tc>
      </w:tr>
      <w:tr w:rsidR="00C11160" w:rsidRPr="00A52708" w14:paraId="2111E832" w14:textId="77777777" w:rsidTr="00A52708">
        <w:trPr>
          <w:trHeight w:val="1055"/>
        </w:trPr>
        <w:tc>
          <w:tcPr>
            <w:cnfStyle w:val="001000000000" w:firstRow="0" w:lastRow="0" w:firstColumn="1" w:lastColumn="0" w:oddVBand="0" w:evenVBand="0" w:oddHBand="0" w:evenHBand="0" w:firstRowFirstColumn="0" w:firstRowLastColumn="0" w:lastRowFirstColumn="0" w:lastRowLastColumn="0"/>
            <w:tcW w:w="1271" w:type="dxa"/>
          </w:tcPr>
          <w:p w14:paraId="4E126519" w14:textId="685F633C" w:rsidR="00C11160" w:rsidRPr="00D93752" w:rsidRDefault="00C11160" w:rsidP="00C11160">
            <w:pPr>
              <w:spacing w:line="240" w:lineRule="auto"/>
              <w:rPr>
                <w:rFonts w:ascii="Calibri" w:eastAsia="Times New Roman" w:hAnsi="Calibri" w:cs="Calibri"/>
                <w:b w:val="0"/>
                <w:bCs w:val="0"/>
                <w:color w:val="000000"/>
                <w:w w:val="100"/>
              </w:rPr>
            </w:pPr>
            <w:r w:rsidRPr="00D93752">
              <w:rPr>
                <w:rFonts w:ascii="Calibri" w:eastAsia="Times New Roman" w:hAnsi="Calibri" w:cs="Calibri"/>
                <w:b w:val="0"/>
                <w:bCs w:val="0"/>
                <w:color w:val="000000"/>
                <w:w w:val="100"/>
              </w:rPr>
              <w:t>Future-Sustainable Plastic</w:t>
            </w:r>
          </w:p>
        </w:tc>
        <w:tc>
          <w:tcPr>
            <w:tcW w:w="7051" w:type="dxa"/>
            <w:noWrap/>
          </w:tcPr>
          <w:p w14:paraId="0C5A79C8" w14:textId="77777777" w:rsidR="00C11160" w:rsidRDefault="00C11160" w:rsidP="00C11160">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Change from PP to recycled PE sleeves</w:t>
            </w:r>
          </w:p>
          <w:p w14:paraId="32BD3E75" w14:textId="6C36CBEB" w:rsidR="00C11160" w:rsidRDefault="00C11160" w:rsidP="00C11160">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Increased weight of packaging/increased transportation</w:t>
            </w:r>
          </w:p>
        </w:tc>
      </w:tr>
      <w:tr w:rsidR="00C11160" w:rsidRPr="00A52708" w14:paraId="549428A9" w14:textId="77777777" w:rsidTr="00A52708">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271" w:type="dxa"/>
          </w:tcPr>
          <w:p w14:paraId="12FAE4EB" w14:textId="06CCCBB3" w:rsidR="00C11160" w:rsidRPr="00D93752" w:rsidRDefault="00C11160" w:rsidP="00C11160">
            <w:pPr>
              <w:spacing w:line="240" w:lineRule="auto"/>
              <w:rPr>
                <w:rFonts w:ascii="Calibri" w:eastAsia="Times New Roman" w:hAnsi="Calibri" w:cs="Calibri"/>
                <w:b w:val="0"/>
                <w:bCs w:val="0"/>
                <w:color w:val="000000"/>
                <w:w w:val="100"/>
              </w:rPr>
            </w:pPr>
            <w:r w:rsidRPr="00D93752">
              <w:rPr>
                <w:rFonts w:ascii="Calibri" w:eastAsia="Times New Roman" w:hAnsi="Calibri" w:cs="Calibri"/>
                <w:b w:val="0"/>
                <w:bCs w:val="0"/>
                <w:color w:val="000000"/>
                <w:w w:val="100"/>
              </w:rPr>
              <w:t>Future-Densif</w:t>
            </w:r>
            <w:r w:rsidR="003C42D6" w:rsidRPr="00D93752">
              <w:rPr>
                <w:rFonts w:ascii="Calibri" w:eastAsia="Times New Roman" w:hAnsi="Calibri" w:cs="Calibri"/>
                <w:b w:val="0"/>
                <w:bCs w:val="0"/>
                <w:color w:val="000000"/>
                <w:w w:val="100"/>
              </w:rPr>
              <w:t>y</w:t>
            </w:r>
          </w:p>
        </w:tc>
        <w:tc>
          <w:tcPr>
            <w:tcW w:w="7051" w:type="dxa"/>
            <w:noWrap/>
          </w:tcPr>
          <w:p w14:paraId="2928837A" w14:textId="77777777" w:rsidR="00C11160" w:rsidRDefault="00C11160" w:rsidP="00C11160">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Increase from roughly 20 to 30 million pots</w:t>
            </w:r>
          </w:p>
          <w:p w14:paraId="12489C04" w14:textId="77777777" w:rsidR="00C11160" w:rsidRDefault="00C11160" w:rsidP="00C11160">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Increase in resource consumption for plants</w:t>
            </w:r>
          </w:p>
          <w:p w14:paraId="3E2CB7CE" w14:textId="5F485B25" w:rsidR="00C11160" w:rsidRDefault="00C11160" w:rsidP="00C11160">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Increase in transportation logistics</w:t>
            </w:r>
          </w:p>
        </w:tc>
      </w:tr>
      <w:tr w:rsidR="00C11160" w:rsidRPr="00A52708" w14:paraId="131DE176" w14:textId="77777777" w:rsidTr="00C11160">
        <w:trPr>
          <w:trHeight w:val="829"/>
        </w:trPr>
        <w:tc>
          <w:tcPr>
            <w:cnfStyle w:val="001000000000" w:firstRow="0" w:lastRow="0" w:firstColumn="1" w:lastColumn="0" w:oddVBand="0" w:evenVBand="0" w:oddHBand="0" w:evenHBand="0" w:firstRowFirstColumn="0" w:firstRowLastColumn="0" w:lastRowFirstColumn="0" w:lastRowLastColumn="0"/>
            <w:tcW w:w="1271" w:type="dxa"/>
          </w:tcPr>
          <w:p w14:paraId="4E51517B" w14:textId="76CF5816" w:rsidR="00C11160" w:rsidRPr="00D93752" w:rsidRDefault="00C11160" w:rsidP="00C11160">
            <w:pPr>
              <w:spacing w:line="240" w:lineRule="auto"/>
              <w:rPr>
                <w:rFonts w:ascii="Calibri" w:eastAsia="Times New Roman" w:hAnsi="Calibri" w:cs="Calibri"/>
                <w:b w:val="0"/>
                <w:bCs w:val="0"/>
                <w:color w:val="000000"/>
                <w:w w:val="100"/>
              </w:rPr>
            </w:pPr>
            <w:r w:rsidRPr="00D93752">
              <w:rPr>
                <w:rFonts w:ascii="Calibri" w:eastAsia="Times New Roman" w:hAnsi="Calibri" w:cs="Calibri"/>
                <w:b w:val="0"/>
                <w:bCs w:val="0"/>
                <w:color w:val="000000"/>
                <w:w w:val="100"/>
              </w:rPr>
              <w:t>Future-Biofuel Transport</w:t>
            </w:r>
          </w:p>
        </w:tc>
        <w:tc>
          <w:tcPr>
            <w:tcW w:w="7051" w:type="dxa"/>
            <w:noWrap/>
          </w:tcPr>
          <w:p w14:paraId="20AFCB7B" w14:textId="3BAA818B" w:rsidR="00C11160" w:rsidRDefault="00C11160" w:rsidP="00C11160">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Increase to 90% biofuels in logistics transportation</w:t>
            </w:r>
          </w:p>
        </w:tc>
      </w:tr>
      <w:tr w:rsidR="00C11160" w:rsidRPr="00A52708" w14:paraId="041FD95A" w14:textId="77777777" w:rsidTr="00A52708">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271" w:type="dxa"/>
          </w:tcPr>
          <w:p w14:paraId="1BA6EA4A" w14:textId="21DEBB5D" w:rsidR="00C11160" w:rsidRPr="00D93752" w:rsidRDefault="00C11160" w:rsidP="00C11160">
            <w:pPr>
              <w:spacing w:line="240" w:lineRule="auto"/>
              <w:rPr>
                <w:rFonts w:ascii="Calibri" w:eastAsia="Times New Roman" w:hAnsi="Calibri" w:cs="Calibri"/>
                <w:b w:val="0"/>
                <w:bCs w:val="0"/>
                <w:color w:val="000000"/>
                <w:w w:val="100"/>
              </w:rPr>
            </w:pPr>
            <w:r w:rsidRPr="00D93752">
              <w:rPr>
                <w:rFonts w:ascii="Calibri" w:eastAsia="Times New Roman" w:hAnsi="Calibri" w:cs="Calibri"/>
                <w:b w:val="0"/>
                <w:bCs w:val="0"/>
                <w:color w:val="000000"/>
                <w:w w:val="100"/>
              </w:rPr>
              <w:t>Future-LED Lighting</w:t>
            </w:r>
          </w:p>
        </w:tc>
        <w:tc>
          <w:tcPr>
            <w:tcW w:w="7051" w:type="dxa"/>
            <w:noWrap/>
          </w:tcPr>
          <w:p w14:paraId="2A3D8131" w14:textId="77777777" w:rsidR="00C11160" w:rsidRDefault="00C11160" w:rsidP="00C11160">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Switch to LED lighting, including infrastructure</w:t>
            </w:r>
          </w:p>
          <w:p w14:paraId="45C8354C" w14:textId="77777777" w:rsidR="00C11160" w:rsidRDefault="00C11160" w:rsidP="00C11160">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Reduction of electricity demand</w:t>
            </w:r>
          </w:p>
          <w:p w14:paraId="6D76DD97" w14:textId="6E16DFAE" w:rsidR="00C11160" w:rsidRDefault="00C11160" w:rsidP="00C11160">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w w:val="100"/>
              </w:rPr>
            </w:pPr>
            <w:r>
              <w:rPr>
                <w:rFonts w:ascii="Calibri" w:eastAsia="Times New Roman" w:hAnsi="Calibri" w:cs="Calibri"/>
                <w:color w:val="000000"/>
                <w:w w:val="100"/>
              </w:rPr>
              <w:t>Increase in heat demand</w:t>
            </w:r>
          </w:p>
        </w:tc>
      </w:tr>
    </w:tbl>
    <w:p w14:paraId="60B85802" w14:textId="09E4EBEB" w:rsidR="00A52708" w:rsidRDefault="00A52708" w:rsidP="00A52708">
      <w:pPr>
        <w:rPr>
          <w:b/>
          <w:bCs/>
        </w:rPr>
      </w:pPr>
    </w:p>
    <w:p w14:paraId="2E3B5743" w14:textId="358F645B" w:rsidR="00031F47" w:rsidRDefault="00031F47" w:rsidP="00A52708">
      <w:pPr>
        <w:rPr>
          <w:b/>
          <w:bCs/>
        </w:rPr>
      </w:pPr>
    </w:p>
    <w:p w14:paraId="5909C7AE" w14:textId="673E4922" w:rsidR="00031F47" w:rsidRDefault="00031F47" w:rsidP="00A52708">
      <w:pPr>
        <w:rPr>
          <w:b/>
          <w:bCs/>
        </w:rPr>
      </w:pPr>
    </w:p>
    <w:p w14:paraId="5B887EE8" w14:textId="1E797728" w:rsidR="00031F47" w:rsidRDefault="00031F47" w:rsidP="00A52708">
      <w:pPr>
        <w:rPr>
          <w:b/>
          <w:bCs/>
        </w:rPr>
      </w:pPr>
    </w:p>
    <w:p w14:paraId="34DCEA16" w14:textId="1A0D1C72" w:rsidR="00031F47" w:rsidRDefault="00031F47" w:rsidP="00A52708">
      <w:pPr>
        <w:rPr>
          <w:b/>
          <w:bCs/>
        </w:rPr>
      </w:pPr>
    </w:p>
    <w:p w14:paraId="0408FBB6" w14:textId="77777777" w:rsidR="00031F47" w:rsidRDefault="00031F47" w:rsidP="00A52708">
      <w:pPr>
        <w:rPr>
          <w:b/>
          <w:bCs/>
        </w:rPr>
      </w:pPr>
    </w:p>
    <w:p w14:paraId="00000131" w14:textId="5A718600" w:rsidR="00511004" w:rsidRPr="00D83AC6" w:rsidRDefault="00D83AC6" w:rsidP="004F245A">
      <w:pPr>
        <w:pStyle w:val="Heading2"/>
      </w:pPr>
      <w:r w:rsidRPr="00D83AC6">
        <w:lastRenderedPageBreak/>
        <w:t>Greenhouse Infrastructure</w:t>
      </w:r>
    </w:p>
    <w:p w14:paraId="3DAD001A" w14:textId="77777777" w:rsidR="005A7FB0" w:rsidRDefault="00D83AC6" w:rsidP="00D83AC6">
      <w:r>
        <w:t xml:space="preserve">The greenhouse size and information about the structure was provided based on information from </w:t>
      </w:r>
      <w:proofErr w:type="spellStart"/>
      <w:r>
        <w:t>Svegro</w:t>
      </w:r>
      <w:proofErr w:type="spellEnd"/>
      <w:r>
        <w:t xml:space="preserve"> and a study visit to learn more about their production system. For the infrastructure requirements, including the greenhouse structure and supporting infrastructure for the hydroponic NFT </w:t>
      </w:r>
      <w:r w:rsidR="008933F1">
        <w:t>s</w:t>
      </w:r>
      <w:r>
        <w:t>ystem</w:t>
      </w:r>
      <w:r w:rsidR="008933F1">
        <w:t xml:space="preserve">, </w:t>
      </w:r>
      <w:r>
        <w:t xml:space="preserve">the Ecoinvent dataset ‘market for greenhouse, glass walls and roof | Cutoff, S,’ was employed and was assumed to cover the greenhouse infrastructure. </w:t>
      </w:r>
      <w:r w:rsidR="005A7FB0">
        <w:t xml:space="preserve">This was done as no changes in the greenhouse infrastructure were modeled in the studied scenarios, and as such, we </w:t>
      </w:r>
      <w:proofErr w:type="gramStart"/>
      <w:r w:rsidR="005A7FB0">
        <w:t>made the assumption</w:t>
      </w:r>
      <w:proofErr w:type="gramEnd"/>
      <w:r w:rsidR="005A7FB0">
        <w:t xml:space="preserve"> upon reviewing the dataset that it would be adequate for modeling the greenhouse structure. </w:t>
      </w:r>
    </w:p>
    <w:p w14:paraId="0DDEEB45" w14:textId="67AD34BB" w:rsidR="00D83AC6" w:rsidRDefault="00D83AC6" w:rsidP="00D83AC6">
      <w:r>
        <w:t xml:space="preserve">We employed the overall size of the growing area to model the greenhouse, </w:t>
      </w:r>
      <w:r w:rsidR="00CB7851">
        <w:t>i.e.,</w:t>
      </w:r>
      <w:r>
        <w:t xml:space="preserve"> 44 200 m</w:t>
      </w:r>
      <w:r w:rsidRPr="008933F1">
        <w:rPr>
          <w:vertAlign w:val="superscript"/>
        </w:rPr>
        <w:t>2</w:t>
      </w:r>
      <w:r>
        <w:t xml:space="preserve">. HPS lighting was included separately, in addition to the added tanks and the pellet furnace for thermal energy. It was assumed that all the channels for the hydroponic NFT system were included in the greenhouse LCI dataset as mentioned above. This was </w:t>
      </w:r>
      <w:proofErr w:type="gramStart"/>
      <w:r>
        <w:t>due to the fact that</w:t>
      </w:r>
      <w:proofErr w:type="gramEnd"/>
      <w:r>
        <w:t xml:space="preserve"> the dataset includes an extensive listing of different infrastructure, including tubing for fertigation systems. The assumed lifetime for the greenhouse was 30 years. </w:t>
      </w:r>
      <w:r w:rsidR="008933F1">
        <w:t>Other structures used for storage and offices (roughly 10 000 m</w:t>
      </w:r>
      <w:r w:rsidR="008933F1" w:rsidRPr="008933F1">
        <w:rPr>
          <w:vertAlign w:val="superscript"/>
        </w:rPr>
        <w:t>2</w:t>
      </w:r>
      <w:r w:rsidR="008933F1">
        <w:t xml:space="preserve">) were also included and modeled with the dataset ‘market for building, hall, steel construction | Cutoff, S.’ </w:t>
      </w:r>
      <w:r>
        <w:t xml:space="preserve">Other infrastructure included in the study has been outlined in respective sections in this Supplementary material and a listing of LCI datasets are provided in Table S1 for further details. </w:t>
      </w:r>
    </w:p>
    <w:p w14:paraId="7ACCCBF0" w14:textId="77777777" w:rsidR="00031F47" w:rsidRDefault="00031F47" w:rsidP="00D83AC6"/>
    <w:p w14:paraId="00000135" w14:textId="0DF66E44" w:rsidR="00511004" w:rsidRPr="00D83AC6" w:rsidRDefault="00C93E4B" w:rsidP="004F245A">
      <w:pPr>
        <w:pStyle w:val="Heading2"/>
      </w:pPr>
      <w:r w:rsidRPr="00D83AC6">
        <w:t>Packaging in the Baseline, Current and Future</w:t>
      </w:r>
      <w:r w:rsidR="00D83AC6" w:rsidRPr="00D83AC6">
        <w:t xml:space="preserve"> Scenarios</w:t>
      </w:r>
    </w:p>
    <w:p w14:paraId="00000136" w14:textId="1DB8A682" w:rsidR="00511004" w:rsidRDefault="008933F1">
      <w:r w:rsidRPr="008933F1">
        <w:t xml:space="preserve">For the different scenarios, packaging </w:t>
      </w:r>
      <w:r>
        <w:t>varies</w:t>
      </w:r>
      <w:r w:rsidRPr="008933F1">
        <w:t>. All past scenarios, including the baseline scenario</w:t>
      </w:r>
      <w:r>
        <w:t>,</w:t>
      </w:r>
      <w:r w:rsidRPr="008933F1">
        <w:t xml:space="preserve"> were assumed to have the same packaging amounts (and types of plastic) </w:t>
      </w:r>
      <w:r>
        <w:t>as those outlined in</w:t>
      </w:r>
      <w:r w:rsidRPr="008933F1">
        <w:t xml:space="preserve"> the baseline scenario. As outlined in the main text, the current scenario contains a change in the </w:t>
      </w:r>
      <w:r w:rsidRPr="006E09A3">
        <w:t xml:space="preserve">amount and type of plastic used for the pots and outer wrapping </w:t>
      </w:r>
      <w:r w:rsidR="00C63535" w:rsidRPr="006E09A3">
        <w:t xml:space="preserve">sleeve </w:t>
      </w:r>
      <w:r w:rsidRPr="006E09A3">
        <w:t>of the plant.</w:t>
      </w:r>
      <w:r w:rsidR="00CB7851" w:rsidRPr="006E09A3">
        <w:t xml:space="preserve"> Finally, for the Future-Sustainable Plastic scenario, additional changes in the amounts and types of plastics, as outlined in the main text, are also included. Figures for the amounts and details on the types of plastics employed for the Baseline, Current, and Future-Sustainable Plastic scenarios are included in Table S</w:t>
      </w:r>
      <w:r w:rsidR="00C11160">
        <w:t>3</w:t>
      </w:r>
      <w:r w:rsidR="00CB7851" w:rsidRPr="006E09A3">
        <w:t xml:space="preserve"> below.</w:t>
      </w:r>
      <w:r w:rsidRPr="008933F1">
        <w:t xml:space="preserve"> </w:t>
      </w:r>
    </w:p>
    <w:p w14:paraId="4FD8877E" w14:textId="40D2C471" w:rsidR="00031F47" w:rsidRDefault="00031F47"/>
    <w:p w14:paraId="70C6EA74" w14:textId="1A1D6851" w:rsidR="00031F47" w:rsidRDefault="00031F47"/>
    <w:p w14:paraId="7537AEC9" w14:textId="74393A2B" w:rsidR="00031F47" w:rsidRDefault="00031F47"/>
    <w:p w14:paraId="52798C37" w14:textId="1C04F8EB" w:rsidR="00031F47" w:rsidRDefault="00031F47"/>
    <w:p w14:paraId="05CE082C" w14:textId="4C1C2752" w:rsidR="00031F47" w:rsidRDefault="00031F47"/>
    <w:p w14:paraId="6F1D5C7D" w14:textId="5472103C" w:rsidR="00031F47" w:rsidRDefault="00031F47"/>
    <w:p w14:paraId="36E5AC22" w14:textId="77777777" w:rsidR="00031F47" w:rsidRPr="008933F1" w:rsidRDefault="00031F47"/>
    <w:p w14:paraId="00000138" w14:textId="5CA62BAD" w:rsidR="00511004" w:rsidRDefault="00C93E4B">
      <w:pPr>
        <w:keepNext/>
        <w:pBdr>
          <w:top w:val="nil"/>
          <w:left w:val="nil"/>
          <w:bottom w:val="nil"/>
          <w:right w:val="nil"/>
          <w:between w:val="nil"/>
        </w:pBdr>
        <w:spacing w:after="200" w:line="240" w:lineRule="auto"/>
        <w:rPr>
          <w:i/>
          <w:color w:val="44546A"/>
          <w:sz w:val="18"/>
          <w:szCs w:val="18"/>
        </w:rPr>
      </w:pPr>
      <w:r>
        <w:rPr>
          <w:i/>
          <w:color w:val="44546A"/>
          <w:sz w:val="18"/>
          <w:szCs w:val="18"/>
        </w:rPr>
        <w:lastRenderedPageBreak/>
        <w:t xml:space="preserve">Table </w:t>
      </w:r>
      <w:r w:rsidR="00CB7851">
        <w:rPr>
          <w:i/>
          <w:color w:val="44546A"/>
          <w:sz w:val="18"/>
          <w:szCs w:val="18"/>
        </w:rPr>
        <w:t>S</w:t>
      </w:r>
      <w:r w:rsidR="00A52708">
        <w:rPr>
          <w:i/>
          <w:color w:val="44546A"/>
          <w:sz w:val="18"/>
          <w:szCs w:val="18"/>
        </w:rPr>
        <w:t>3</w:t>
      </w:r>
      <w:r>
        <w:rPr>
          <w:i/>
          <w:color w:val="44546A"/>
          <w:sz w:val="18"/>
          <w:szCs w:val="18"/>
        </w:rPr>
        <w:t>: Packaging</w:t>
      </w:r>
      <w:r w:rsidR="006115F2">
        <w:rPr>
          <w:i/>
          <w:color w:val="44546A"/>
          <w:sz w:val="18"/>
          <w:szCs w:val="18"/>
        </w:rPr>
        <w:t xml:space="preserve"> Amounts and Types in the Baseline and Current scenarios </w:t>
      </w:r>
    </w:p>
    <w:tbl>
      <w:tblPr>
        <w:tblStyle w:val="ListTable1Light-Accent2"/>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7"/>
        <w:gridCol w:w="1727"/>
        <w:gridCol w:w="1727"/>
        <w:gridCol w:w="1727"/>
        <w:gridCol w:w="1728"/>
      </w:tblGrid>
      <w:tr w:rsidR="00511004" w14:paraId="196CDA4E"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tcPr>
          <w:p w14:paraId="00000139" w14:textId="77777777" w:rsidR="00511004" w:rsidRDefault="00C93E4B">
            <w:pPr>
              <w:jc w:val="center"/>
              <w:rPr>
                <w:rFonts w:ascii="Calibri" w:eastAsia="Calibri" w:hAnsi="Calibri" w:cs="Calibri"/>
                <w:b/>
              </w:rPr>
            </w:pPr>
            <w:r>
              <w:rPr>
                <w:rFonts w:ascii="Calibri" w:eastAsia="Calibri" w:hAnsi="Calibri" w:cs="Calibri"/>
                <w:b/>
              </w:rPr>
              <w:t>Scenario</w:t>
            </w:r>
          </w:p>
        </w:tc>
        <w:tc>
          <w:tcPr>
            <w:tcW w:w="1727" w:type="dxa"/>
          </w:tcPr>
          <w:p w14:paraId="0000013A" w14:textId="77777777" w:rsidR="00511004" w:rsidRDefault="00C93E4B">
            <w:pPr>
              <w:jc w:val="center"/>
              <w:rPr>
                <w:rFonts w:ascii="Calibri" w:eastAsia="Calibri" w:hAnsi="Calibri" w:cs="Calibri"/>
                <w:b/>
              </w:rPr>
            </w:pPr>
            <w:r>
              <w:rPr>
                <w:rFonts w:ascii="Calibri" w:eastAsia="Calibri" w:hAnsi="Calibri" w:cs="Calibri"/>
                <w:b/>
              </w:rPr>
              <w:t>Type</w:t>
            </w:r>
          </w:p>
        </w:tc>
        <w:tc>
          <w:tcPr>
            <w:tcW w:w="1727" w:type="dxa"/>
          </w:tcPr>
          <w:p w14:paraId="0000013B" w14:textId="77777777" w:rsidR="00511004" w:rsidRDefault="00C93E4B">
            <w:pPr>
              <w:jc w:val="center"/>
              <w:rPr>
                <w:rFonts w:ascii="Calibri" w:eastAsia="Calibri" w:hAnsi="Calibri" w:cs="Calibri"/>
                <w:b/>
              </w:rPr>
            </w:pPr>
            <w:r>
              <w:rPr>
                <w:rFonts w:ascii="Calibri" w:eastAsia="Calibri" w:hAnsi="Calibri" w:cs="Calibri"/>
                <w:b/>
              </w:rPr>
              <w:t>Amount</w:t>
            </w:r>
          </w:p>
        </w:tc>
        <w:tc>
          <w:tcPr>
            <w:tcW w:w="1727" w:type="dxa"/>
          </w:tcPr>
          <w:p w14:paraId="0000013C" w14:textId="77777777" w:rsidR="00511004" w:rsidRDefault="00C93E4B">
            <w:pPr>
              <w:jc w:val="center"/>
              <w:rPr>
                <w:rFonts w:ascii="Calibri" w:eastAsia="Calibri" w:hAnsi="Calibri" w:cs="Calibri"/>
                <w:b/>
              </w:rPr>
            </w:pPr>
            <w:r>
              <w:rPr>
                <w:rFonts w:ascii="Calibri" w:eastAsia="Calibri" w:hAnsi="Calibri" w:cs="Calibri"/>
                <w:b/>
              </w:rPr>
              <w:t>Unit</w:t>
            </w:r>
          </w:p>
        </w:tc>
        <w:tc>
          <w:tcPr>
            <w:tcW w:w="1728" w:type="dxa"/>
          </w:tcPr>
          <w:p w14:paraId="0000013D" w14:textId="77777777" w:rsidR="00511004" w:rsidRDefault="00C93E4B">
            <w:pPr>
              <w:jc w:val="center"/>
              <w:rPr>
                <w:rFonts w:ascii="Calibri" w:eastAsia="Calibri" w:hAnsi="Calibri" w:cs="Calibri"/>
                <w:b/>
              </w:rPr>
            </w:pPr>
            <w:r>
              <w:rPr>
                <w:rFonts w:ascii="Calibri" w:eastAsia="Calibri" w:hAnsi="Calibri" w:cs="Calibri"/>
                <w:b/>
              </w:rPr>
              <w:t>Note</w:t>
            </w:r>
          </w:p>
        </w:tc>
      </w:tr>
      <w:tr w:rsidR="00511004" w14:paraId="7FFF9BA7" w14:textId="77777777" w:rsidTr="00803C3C">
        <w:tc>
          <w:tcPr>
            <w:tcW w:w="1727" w:type="dxa"/>
            <w:vMerge w:val="restart"/>
          </w:tcPr>
          <w:p w14:paraId="0000013E" w14:textId="77777777" w:rsidR="00511004" w:rsidRDefault="00C93E4B">
            <w:pPr>
              <w:jc w:val="center"/>
              <w:rPr>
                <w:rFonts w:ascii="Calibri" w:eastAsia="Calibri" w:hAnsi="Calibri" w:cs="Calibri"/>
              </w:rPr>
            </w:pPr>
            <w:r>
              <w:rPr>
                <w:rFonts w:ascii="Calibri" w:eastAsia="Calibri" w:hAnsi="Calibri" w:cs="Calibri"/>
              </w:rPr>
              <w:t>Baseline</w:t>
            </w:r>
          </w:p>
        </w:tc>
        <w:tc>
          <w:tcPr>
            <w:tcW w:w="1727" w:type="dxa"/>
          </w:tcPr>
          <w:p w14:paraId="0000013F" w14:textId="77777777" w:rsidR="00511004" w:rsidRDefault="00C93E4B">
            <w:pPr>
              <w:jc w:val="center"/>
              <w:rPr>
                <w:rFonts w:ascii="Calibri" w:eastAsia="Calibri" w:hAnsi="Calibri" w:cs="Calibri"/>
              </w:rPr>
            </w:pPr>
            <w:r>
              <w:rPr>
                <w:rFonts w:ascii="Calibri" w:eastAsia="Calibri" w:hAnsi="Calibri" w:cs="Calibri"/>
              </w:rPr>
              <w:t>Polystyrene (PS)</w:t>
            </w:r>
          </w:p>
        </w:tc>
        <w:tc>
          <w:tcPr>
            <w:tcW w:w="1727" w:type="dxa"/>
          </w:tcPr>
          <w:p w14:paraId="00000140" w14:textId="77777777" w:rsidR="00511004" w:rsidRDefault="00C93E4B">
            <w:pPr>
              <w:jc w:val="center"/>
              <w:rPr>
                <w:rFonts w:ascii="Calibri" w:eastAsia="Calibri" w:hAnsi="Calibri" w:cs="Calibri"/>
              </w:rPr>
            </w:pPr>
            <w:r>
              <w:rPr>
                <w:rFonts w:ascii="Calibri" w:eastAsia="Calibri" w:hAnsi="Calibri" w:cs="Calibri"/>
              </w:rPr>
              <w:t>1 672</w:t>
            </w:r>
          </w:p>
        </w:tc>
        <w:tc>
          <w:tcPr>
            <w:tcW w:w="1727" w:type="dxa"/>
          </w:tcPr>
          <w:p w14:paraId="00000141"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42" w14:textId="77777777" w:rsidR="00511004" w:rsidRDefault="00511004">
            <w:pPr>
              <w:jc w:val="center"/>
              <w:rPr>
                <w:rFonts w:ascii="Calibri" w:eastAsia="Calibri" w:hAnsi="Calibri" w:cs="Calibri"/>
              </w:rPr>
            </w:pPr>
          </w:p>
        </w:tc>
      </w:tr>
      <w:tr w:rsidR="00511004" w14:paraId="0C035427"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00000143"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44" w14:textId="77777777" w:rsidR="00511004" w:rsidRDefault="00C93E4B">
            <w:pPr>
              <w:jc w:val="center"/>
              <w:rPr>
                <w:rFonts w:ascii="Calibri" w:eastAsia="Calibri" w:hAnsi="Calibri" w:cs="Calibri"/>
              </w:rPr>
            </w:pPr>
            <w:r>
              <w:rPr>
                <w:rFonts w:ascii="Calibri" w:eastAsia="Calibri" w:hAnsi="Calibri" w:cs="Calibri"/>
              </w:rPr>
              <w:t>Pots (PS)</w:t>
            </w:r>
          </w:p>
        </w:tc>
        <w:tc>
          <w:tcPr>
            <w:tcW w:w="1727" w:type="dxa"/>
          </w:tcPr>
          <w:p w14:paraId="00000145" w14:textId="77777777" w:rsidR="00511004" w:rsidRDefault="00C93E4B">
            <w:pPr>
              <w:jc w:val="center"/>
              <w:rPr>
                <w:rFonts w:ascii="Calibri" w:eastAsia="Calibri" w:hAnsi="Calibri" w:cs="Calibri"/>
              </w:rPr>
            </w:pPr>
            <w:r>
              <w:rPr>
                <w:rFonts w:ascii="Calibri" w:eastAsia="Calibri" w:hAnsi="Calibri" w:cs="Calibri"/>
              </w:rPr>
              <w:t>90 101</w:t>
            </w:r>
          </w:p>
        </w:tc>
        <w:tc>
          <w:tcPr>
            <w:tcW w:w="1727" w:type="dxa"/>
          </w:tcPr>
          <w:p w14:paraId="00000146"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47" w14:textId="77777777" w:rsidR="00511004" w:rsidRDefault="00C93E4B">
            <w:pPr>
              <w:jc w:val="center"/>
              <w:rPr>
                <w:rFonts w:ascii="Calibri" w:eastAsia="Calibri" w:hAnsi="Calibri" w:cs="Calibri"/>
              </w:rPr>
            </w:pPr>
            <w:r>
              <w:rPr>
                <w:rFonts w:ascii="Calibri" w:eastAsia="Calibri" w:hAnsi="Calibri" w:cs="Calibri"/>
              </w:rPr>
              <w:t>Black</w:t>
            </w:r>
          </w:p>
        </w:tc>
      </w:tr>
      <w:tr w:rsidR="00511004" w14:paraId="76C000A8" w14:textId="77777777" w:rsidTr="00803C3C">
        <w:tc>
          <w:tcPr>
            <w:tcW w:w="1727" w:type="dxa"/>
            <w:vMerge/>
          </w:tcPr>
          <w:p w14:paraId="00000148"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49" w14:textId="77777777" w:rsidR="00511004" w:rsidRDefault="00C93E4B">
            <w:pPr>
              <w:jc w:val="center"/>
              <w:rPr>
                <w:rFonts w:ascii="Calibri" w:eastAsia="Calibri" w:hAnsi="Calibri" w:cs="Calibri"/>
              </w:rPr>
            </w:pPr>
            <w:r>
              <w:rPr>
                <w:rFonts w:ascii="Calibri" w:eastAsia="Calibri" w:hAnsi="Calibri" w:cs="Calibri"/>
              </w:rPr>
              <w:t>Trays (PS)</w:t>
            </w:r>
          </w:p>
        </w:tc>
        <w:tc>
          <w:tcPr>
            <w:tcW w:w="1727" w:type="dxa"/>
          </w:tcPr>
          <w:p w14:paraId="0000014A" w14:textId="77777777" w:rsidR="00511004" w:rsidRDefault="00C93E4B">
            <w:pPr>
              <w:jc w:val="center"/>
              <w:rPr>
                <w:rFonts w:ascii="Calibri" w:eastAsia="Calibri" w:hAnsi="Calibri" w:cs="Calibri"/>
              </w:rPr>
            </w:pPr>
            <w:r>
              <w:rPr>
                <w:rFonts w:ascii="Calibri" w:eastAsia="Calibri" w:hAnsi="Calibri" w:cs="Calibri"/>
              </w:rPr>
              <w:t>93 513</w:t>
            </w:r>
          </w:p>
        </w:tc>
        <w:tc>
          <w:tcPr>
            <w:tcW w:w="1727" w:type="dxa"/>
          </w:tcPr>
          <w:p w14:paraId="0000014B"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4C" w14:textId="77777777" w:rsidR="00511004" w:rsidRDefault="00C93E4B">
            <w:pPr>
              <w:jc w:val="center"/>
              <w:rPr>
                <w:rFonts w:ascii="Calibri" w:eastAsia="Calibri" w:hAnsi="Calibri" w:cs="Calibri"/>
              </w:rPr>
            </w:pPr>
            <w:r>
              <w:rPr>
                <w:rFonts w:ascii="Calibri" w:eastAsia="Calibri" w:hAnsi="Calibri" w:cs="Calibri"/>
              </w:rPr>
              <w:t>Black</w:t>
            </w:r>
          </w:p>
        </w:tc>
      </w:tr>
      <w:tr w:rsidR="00511004" w14:paraId="3EE6187B"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0000014D"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4E" w14:textId="65F83CD9" w:rsidR="00511004" w:rsidRDefault="00C63535">
            <w:pPr>
              <w:jc w:val="center"/>
              <w:rPr>
                <w:rFonts w:ascii="Calibri" w:eastAsia="Calibri" w:hAnsi="Calibri" w:cs="Calibri"/>
              </w:rPr>
            </w:pPr>
            <w:r>
              <w:rPr>
                <w:rFonts w:ascii="Calibri" w:eastAsia="Calibri" w:hAnsi="Calibri" w:cs="Calibri"/>
                <w:color w:val="000000"/>
              </w:rPr>
              <w:t>Sleeves,</w:t>
            </w:r>
            <w:r w:rsidR="00C93E4B">
              <w:rPr>
                <w:rFonts w:ascii="Calibri" w:eastAsia="Calibri" w:hAnsi="Calibri" w:cs="Calibri"/>
                <w:color w:val="000000"/>
              </w:rPr>
              <w:t xml:space="preserve"> </w:t>
            </w:r>
            <w:r>
              <w:rPr>
                <w:rFonts w:ascii="Calibri" w:eastAsia="Calibri" w:hAnsi="Calibri" w:cs="Calibri"/>
                <w:color w:val="000000"/>
              </w:rPr>
              <w:t xml:space="preserve">Polypropylene </w:t>
            </w:r>
            <w:r w:rsidR="00C93E4B">
              <w:rPr>
                <w:rFonts w:ascii="Calibri" w:eastAsia="Calibri" w:hAnsi="Calibri" w:cs="Calibri"/>
                <w:color w:val="000000"/>
              </w:rPr>
              <w:t>(PP)</w:t>
            </w:r>
          </w:p>
        </w:tc>
        <w:tc>
          <w:tcPr>
            <w:tcW w:w="1727" w:type="dxa"/>
          </w:tcPr>
          <w:p w14:paraId="0000014F" w14:textId="77777777" w:rsidR="00511004" w:rsidRDefault="00C93E4B">
            <w:pPr>
              <w:jc w:val="center"/>
              <w:rPr>
                <w:rFonts w:ascii="Calibri" w:eastAsia="Calibri" w:hAnsi="Calibri" w:cs="Calibri"/>
              </w:rPr>
            </w:pPr>
            <w:r>
              <w:rPr>
                <w:rFonts w:ascii="Calibri" w:eastAsia="Calibri" w:hAnsi="Calibri" w:cs="Calibri"/>
              </w:rPr>
              <w:t>91 181</w:t>
            </w:r>
          </w:p>
        </w:tc>
        <w:tc>
          <w:tcPr>
            <w:tcW w:w="1727" w:type="dxa"/>
          </w:tcPr>
          <w:p w14:paraId="00000150"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51" w14:textId="77777777" w:rsidR="00511004" w:rsidRDefault="00511004">
            <w:pPr>
              <w:jc w:val="center"/>
              <w:rPr>
                <w:rFonts w:ascii="Calibri" w:eastAsia="Calibri" w:hAnsi="Calibri" w:cs="Calibri"/>
              </w:rPr>
            </w:pPr>
          </w:p>
        </w:tc>
      </w:tr>
      <w:tr w:rsidR="00511004" w14:paraId="1C45EC72" w14:textId="77777777" w:rsidTr="00803C3C">
        <w:tc>
          <w:tcPr>
            <w:tcW w:w="1727" w:type="dxa"/>
            <w:vMerge/>
          </w:tcPr>
          <w:p w14:paraId="00000152"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53" w14:textId="77777777" w:rsidR="00511004" w:rsidRDefault="00C93E4B">
            <w:pPr>
              <w:jc w:val="center"/>
              <w:rPr>
                <w:rFonts w:ascii="Calibri" w:eastAsia="Calibri" w:hAnsi="Calibri" w:cs="Calibri"/>
              </w:rPr>
            </w:pPr>
            <w:r>
              <w:rPr>
                <w:rFonts w:ascii="Calibri" w:eastAsia="Calibri" w:hAnsi="Calibri" w:cs="Calibri"/>
                <w:color w:val="000000"/>
              </w:rPr>
              <w:t>Wrapping (LLDEPE)</w:t>
            </w:r>
          </w:p>
        </w:tc>
        <w:tc>
          <w:tcPr>
            <w:tcW w:w="1727" w:type="dxa"/>
          </w:tcPr>
          <w:p w14:paraId="00000154" w14:textId="77777777" w:rsidR="00511004" w:rsidRDefault="00C93E4B">
            <w:pPr>
              <w:jc w:val="center"/>
              <w:rPr>
                <w:rFonts w:ascii="Calibri" w:eastAsia="Calibri" w:hAnsi="Calibri" w:cs="Calibri"/>
              </w:rPr>
            </w:pPr>
            <w:r>
              <w:rPr>
                <w:rFonts w:ascii="Calibri" w:eastAsia="Calibri" w:hAnsi="Calibri" w:cs="Calibri"/>
              </w:rPr>
              <w:t>2 191</w:t>
            </w:r>
          </w:p>
        </w:tc>
        <w:tc>
          <w:tcPr>
            <w:tcW w:w="1727" w:type="dxa"/>
          </w:tcPr>
          <w:p w14:paraId="00000155"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56" w14:textId="77777777" w:rsidR="00511004" w:rsidRDefault="00511004">
            <w:pPr>
              <w:jc w:val="center"/>
              <w:rPr>
                <w:rFonts w:ascii="Calibri" w:eastAsia="Calibri" w:hAnsi="Calibri" w:cs="Calibri"/>
              </w:rPr>
            </w:pPr>
          </w:p>
        </w:tc>
      </w:tr>
      <w:tr w:rsidR="00511004" w14:paraId="418C8903"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00000157"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58" w14:textId="77777777" w:rsidR="00511004" w:rsidRDefault="00C93E4B">
            <w:pPr>
              <w:jc w:val="center"/>
              <w:rPr>
                <w:rFonts w:ascii="Calibri" w:eastAsia="Calibri" w:hAnsi="Calibri" w:cs="Calibri"/>
              </w:rPr>
            </w:pPr>
            <w:r>
              <w:rPr>
                <w:rFonts w:ascii="Calibri" w:eastAsia="Calibri" w:hAnsi="Calibri" w:cs="Calibri"/>
                <w:color w:val="000000"/>
              </w:rPr>
              <w:t>Other (PET)</w:t>
            </w:r>
          </w:p>
        </w:tc>
        <w:tc>
          <w:tcPr>
            <w:tcW w:w="1727" w:type="dxa"/>
          </w:tcPr>
          <w:p w14:paraId="00000159" w14:textId="77777777" w:rsidR="00511004" w:rsidRDefault="00C93E4B">
            <w:pPr>
              <w:jc w:val="center"/>
              <w:rPr>
                <w:rFonts w:ascii="Calibri" w:eastAsia="Calibri" w:hAnsi="Calibri" w:cs="Calibri"/>
              </w:rPr>
            </w:pPr>
            <w:r>
              <w:rPr>
                <w:rFonts w:ascii="Calibri" w:eastAsia="Calibri" w:hAnsi="Calibri" w:cs="Calibri"/>
              </w:rPr>
              <w:t>367</w:t>
            </w:r>
          </w:p>
        </w:tc>
        <w:tc>
          <w:tcPr>
            <w:tcW w:w="1727" w:type="dxa"/>
          </w:tcPr>
          <w:p w14:paraId="0000015A"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5B" w14:textId="77777777" w:rsidR="00511004" w:rsidRDefault="00511004">
            <w:pPr>
              <w:jc w:val="center"/>
              <w:rPr>
                <w:rFonts w:ascii="Calibri" w:eastAsia="Calibri" w:hAnsi="Calibri" w:cs="Calibri"/>
              </w:rPr>
            </w:pPr>
          </w:p>
        </w:tc>
      </w:tr>
      <w:tr w:rsidR="00511004" w14:paraId="47710963" w14:textId="77777777" w:rsidTr="00803C3C">
        <w:tc>
          <w:tcPr>
            <w:tcW w:w="1727" w:type="dxa"/>
            <w:vMerge/>
          </w:tcPr>
          <w:p w14:paraId="0000015C"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5D" w14:textId="77777777" w:rsidR="00511004" w:rsidRDefault="00C93E4B">
            <w:pPr>
              <w:jc w:val="center"/>
              <w:rPr>
                <w:rFonts w:ascii="Calibri" w:eastAsia="Calibri" w:hAnsi="Calibri" w:cs="Calibri"/>
              </w:rPr>
            </w:pPr>
            <w:r>
              <w:rPr>
                <w:rFonts w:ascii="Calibri" w:eastAsia="Calibri" w:hAnsi="Calibri" w:cs="Calibri"/>
              </w:rPr>
              <w:t>Cardboard</w:t>
            </w:r>
          </w:p>
        </w:tc>
        <w:tc>
          <w:tcPr>
            <w:tcW w:w="1727" w:type="dxa"/>
          </w:tcPr>
          <w:p w14:paraId="0000015E" w14:textId="77777777" w:rsidR="00511004" w:rsidRDefault="00C93E4B">
            <w:pPr>
              <w:jc w:val="center"/>
              <w:rPr>
                <w:rFonts w:ascii="Calibri" w:eastAsia="Calibri" w:hAnsi="Calibri" w:cs="Calibri"/>
              </w:rPr>
            </w:pPr>
            <w:r>
              <w:rPr>
                <w:rFonts w:ascii="Calibri" w:eastAsia="Calibri" w:hAnsi="Calibri" w:cs="Calibri"/>
              </w:rPr>
              <w:t>525 190</w:t>
            </w:r>
          </w:p>
        </w:tc>
        <w:tc>
          <w:tcPr>
            <w:tcW w:w="1727" w:type="dxa"/>
          </w:tcPr>
          <w:p w14:paraId="0000015F"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60" w14:textId="77777777" w:rsidR="00511004" w:rsidRDefault="00511004">
            <w:pPr>
              <w:jc w:val="center"/>
              <w:rPr>
                <w:rFonts w:ascii="Calibri" w:eastAsia="Calibri" w:hAnsi="Calibri" w:cs="Calibri"/>
              </w:rPr>
            </w:pPr>
          </w:p>
        </w:tc>
      </w:tr>
      <w:tr w:rsidR="00511004" w14:paraId="5681F7E0"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val="restart"/>
          </w:tcPr>
          <w:p w14:paraId="00000161" w14:textId="77777777" w:rsidR="00511004" w:rsidRDefault="00C93E4B">
            <w:pPr>
              <w:jc w:val="center"/>
              <w:rPr>
                <w:rFonts w:ascii="Calibri" w:eastAsia="Calibri" w:hAnsi="Calibri" w:cs="Calibri"/>
              </w:rPr>
            </w:pPr>
            <w:r>
              <w:rPr>
                <w:rFonts w:ascii="Calibri" w:eastAsia="Calibri" w:hAnsi="Calibri" w:cs="Calibri"/>
              </w:rPr>
              <w:t>Current</w:t>
            </w:r>
          </w:p>
        </w:tc>
        <w:tc>
          <w:tcPr>
            <w:tcW w:w="1727" w:type="dxa"/>
          </w:tcPr>
          <w:p w14:paraId="00000162" w14:textId="77777777" w:rsidR="00511004" w:rsidRDefault="00C93E4B">
            <w:pPr>
              <w:jc w:val="center"/>
              <w:rPr>
                <w:rFonts w:ascii="Calibri" w:eastAsia="Calibri" w:hAnsi="Calibri" w:cs="Calibri"/>
              </w:rPr>
            </w:pPr>
            <w:r>
              <w:rPr>
                <w:rFonts w:ascii="Calibri" w:eastAsia="Calibri" w:hAnsi="Calibri" w:cs="Calibri"/>
              </w:rPr>
              <w:t>PS</w:t>
            </w:r>
          </w:p>
        </w:tc>
        <w:tc>
          <w:tcPr>
            <w:tcW w:w="1727" w:type="dxa"/>
          </w:tcPr>
          <w:p w14:paraId="00000163" w14:textId="77777777" w:rsidR="00511004" w:rsidRDefault="00C93E4B">
            <w:pPr>
              <w:jc w:val="center"/>
              <w:rPr>
                <w:rFonts w:ascii="Calibri" w:eastAsia="Calibri" w:hAnsi="Calibri" w:cs="Calibri"/>
              </w:rPr>
            </w:pPr>
            <w:r>
              <w:rPr>
                <w:rFonts w:ascii="Calibri" w:eastAsia="Calibri" w:hAnsi="Calibri" w:cs="Calibri"/>
                <w:color w:val="000000"/>
              </w:rPr>
              <w:t>1 672</w:t>
            </w:r>
          </w:p>
        </w:tc>
        <w:tc>
          <w:tcPr>
            <w:tcW w:w="1727" w:type="dxa"/>
          </w:tcPr>
          <w:p w14:paraId="00000164"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65" w14:textId="77777777" w:rsidR="00511004" w:rsidRDefault="00511004">
            <w:pPr>
              <w:jc w:val="center"/>
              <w:rPr>
                <w:rFonts w:ascii="Calibri" w:eastAsia="Calibri" w:hAnsi="Calibri" w:cs="Calibri"/>
              </w:rPr>
            </w:pPr>
          </w:p>
        </w:tc>
      </w:tr>
      <w:tr w:rsidR="00511004" w14:paraId="530F2F34" w14:textId="77777777" w:rsidTr="00803C3C">
        <w:tc>
          <w:tcPr>
            <w:tcW w:w="1727" w:type="dxa"/>
            <w:vMerge/>
          </w:tcPr>
          <w:p w14:paraId="00000166"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67" w14:textId="77777777" w:rsidR="00511004" w:rsidRDefault="00C93E4B">
            <w:pPr>
              <w:jc w:val="center"/>
              <w:rPr>
                <w:rFonts w:ascii="Calibri" w:eastAsia="Calibri" w:hAnsi="Calibri" w:cs="Calibri"/>
              </w:rPr>
            </w:pPr>
            <w:r>
              <w:rPr>
                <w:rFonts w:ascii="Calibri" w:eastAsia="Calibri" w:hAnsi="Calibri" w:cs="Calibri"/>
                <w:color w:val="000000"/>
              </w:rPr>
              <w:t>Pots (PP)</w:t>
            </w:r>
          </w:p>
        </w:tc>
        <w:tc>
          <w:tcPr>
            <w:tcW w:w="1727" w:type="dxa"/>
          </w:tcPr>
          <w:p w14:paraId="00000168" w14:textId="77777777" w:rsidR="00511004" w:rsidRDefault="00C93E4B">
            <w:pPr>
              <w:jc w:val="center"/>
              <w:rPr>
                <w:rFonts w:ascii="Calibri" w:eastAsia="Calibri" w:hAnsi="Calibri" w:cs="Calibri"/>
              </w:rPr>
            </w:pPr>
            <w:r>
              <w:rPr>
                <w:rFonts w:ascii="Calibri" w:eastAsia="Calibri" w:hAnsi="Calibri" w:cs="Calibri"/>
                <w:color w:val="000000"/>
              </w:rPr>
              <w:t>65 091</w:t>
            </w:r>
          </w:p>
        </w:tc>
        <w:tc>
          <w:tcPr>
            <w:tcW w:w="1727" w:type="dxa"/>
          </w:tcPr>
          <w:p w14:paraId="00000169"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6A" w14:textId="77777777" w:rsidR="00511004" w:rsidRDefault="00C93E4B">
            <w:pPr>
              <w:jc w:val="center"/>
              <w:rPr>
                <w:rFonts w:ascii="Calibri" w:eastAsia="Calibri" w:hAnsi="Calibri" w:cs="Calibri"/>
              </w:rPr>
            </w:pPr>
            <w:r>
              <w:rPr>
                <w:rFonts w:ascii="Calibri" w:eastAsia="Calibri" w:hAnsi="Calibri" w:cs="Calibri"/>
              </w:rPr>
              <w:t>Green Recycled</w:t>
            </w:r>
          </w:p>
        </w:tc>
      </w:tr>
      <w:tr w:rsidR="00511004" w14:paraId="0892CE23"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0000016B"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6C" w14:textId="77777777" w:rsidR="00511004" w:rsidRDefault="00C93E4B">
            <w:pPr>
              <w:jc w:val="center"/>
              <w:rPr>
                <w:rFonts w:ascii="Calibri" w:eastAsia="Calibri" w:hAnsi="Calibri" w:cs="Calibri"/>
              </w:rPr>
            </w:pPr>
            <w:r>
              <w:rPr>
                <w:rFonts w:ascii="Calibri" w:eastAsia="Calibri" w:hAnsi="Calibri" w:cs="Calibri"/>
                <w:color w:val="000000"/>
              </w:rPr>
              <w:t>Trays (PP)</w:t>
            </w:r>
          </w:p>
        </w:tc>
        <w:tc>
          <w:tcPr>
            <w:tcW w:w="1727" w:type="dxa"/>
          </w:tcPr>
          <w:p w14:paraId="0000016D" w14:textId="77777777" w:rsidR="00511004" w:rsidRDefault="00C93E4B">
            <w:pPr>
              <w:jc w:val="center"/>
              <w:rPr>
                <w:rFonts w:ascii="Calibri" w:eastAsia="Calibri" w:hAnsi="Calibri" w:cs="Calibri"/>
              </w:rPr>
            </w:pPr>
            <w:r>
              <w:rPr>
                <w:rFonts w:ascii="Calibri" w:eastAsia="Calibri" w:hAnsi="Calibri" w:cs="Calibri"/>
                <w:color w:val="000000"/>
              </w:rPr>
              <w:t>57 795</w:t>
            </w:r>
          </w:p>
        </w:tc>
        <w:tc>
          <w:tcPr>
            <w:tcW w:w="1727" w:type="dxa"/>
          </w:tcPr>
          <w:p w14:paraId="0000016E"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6F" w14:textId="77777777" w:rsidR="00511004" w:rsidRDefault="00C93E4B">
            <w:pPr>
              <w:jc w:val="center"/>
              <w:rPr>
                <w:rFonts w:ascii="Calibri" w:eastAsia="Calibri" w:hAnsi="Calibri" w:cs="Calibri"/>
              </w:rPr>
            </w:pPr>
            <w:r>
              <w:rPr>
                <w:rFonts w:ascii="Calibri" w:eastAsia="Calibri" w:hAnsi="Calibri" w:cs="Calibri"/>
              </w:rPr>
              <w:t>Green Recycled</w:t>
            </w:r>
          </w:p>
        </w:tc>
      </w:tr>
      <w:tr w:rsidR="00511004" w14:paraId="02FACBF1" w14:textId="77777777" w:rsidTr="00803C3C">
        <w:tc>
          <w:tcPr>
            <w:tcW w:w="1727" w:type="dxa"/>
            <w:vMerge/>
          </w:tcPr>
          <w:p w14:paraId="00000170"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71" w14:textId="379ED007" w:rsidR="00511004" w:rsidRDefault="00C63535">
            <w:pPr>
              <w:jc w:val="center"/>
              <w:rPr>
                <w:rFonts w:ascii="Calibri" w:eastAsia="Calibri" w:hAnsi="Calibri" w:cs="Calibri"/>
              </w:rPr>
            </w:pPr>
            <w:r>
              <w:rPr>
                <w:rFonts w:ascii="Calibri" w:eastAsia="Calibri" w:hAnsi="Calibri" w:cs="Calibri"/>
                <w:color w:val="000000"/>
              </w:rPr>
              <w:t xml:space="preserve">Sleeves </w:t>
            </w:r>
            <w:r w:rsidR="00C93E4B">
              <w:rPr>
                <w:rFonts w:ascii="Calibri" w:eastAsia="Calibri" w:hAnsi="Calibri" w:cs="Calibri"/>
                <w:color w:val="000000"/>
              </w:rPr>
              <w:t>(PP)</w:t>
            </w:r>
          </w:p>
        </w:tc>
        <w:tc>
          <w:tcPr>
            <w:tcW w:w="1727" w:type="dxa"/>
          </w:tcPr>
          <w:p w14:paraId="00000172" w14:textId="77777777" w:rsidR="00511004" w:rsidRDefault="00C93E4B">
            <w:pPr>
              <w:jc w:val="center"/>
              <w:rPr>
                <w:rFonts w:ascii="Calibri" w:eastAsia="Calibri" w:hAnsi="Calibri" w:cs="Calibri"/>
              </w:rPr>
            </w:pPr>
            <w:r>
              <w:rPr>
                <w:rFonts w:ascii="Calibri" w:eastAsia="Calibri" w:hAnsi="Calibri" w:cs="Calibri"/>
                <w:color w:val="000000"/>
              </w:rPr>
              <w:t>91 181</w:t>
            </w:r>
          </w:p>
        </w:tc>
        <w:tc>
          <w:tcPr>
            <w:tcW w:w="1727" w:type="dxa"/>
          </w:tcPr>
          <w:p w14:paraId="00000173"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74" w14:textId="77777777" w:rsidR="00511004" w:rsidRDefault="00511004">
            <w:pPr>
              <w:jc w:val="center"/>
              <w:rPr>
                <w:rFonts w:ascii="Calibri" w:eastAsia="Calibri" w:hAnsi="Calibri" w:cs="Calibri"/>
              </w:rPr>
            </w:pPr>
          </w:p>
        </w:tc>
      </w:tr>
      <w:tr w:rsidR="00511004" w14:paraId="6A6E8B01"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00000175"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76" w14:textId="77777777" w:rsidR="00511004" w:rsidRDefault="00C93E4B">
            <w:pPr>
              <w:jc w:val="center"/>
              <w:rPr>
                <w:rFonts w:ascii="Calibri" w:eastAsia="Calibri" w:hAnsi="Calibri" w:cs="Calibri"/>
              </w:rPr>
            </w:pPr>
            <w:r>
              <w:rPr>
                <w:rFonts w:ascii="Calibri" w:eastAsia="Calibri" w:hAnsi="Calibri" w:cs="Calibri"/>
                <w:color w:val="000000"/>
              </w:rPr>
              <w:t>Wrapping (LLDEPE)</w:t>
            </w:r>
          </w:p>
        </w:tc>
        <w:tc>
          <w:tcPr>
            <w:tcW w:w="1727" w:type="dxa"/>
          </w:tcPr>
          <w:p w14:paraId="00000177" w14:textId="77777777" w:rsidR="00511004" w:rsidRDefault="00C93E4B">
            <w:pPr>
              <w:jc w:val="center"/>
              <w:rPr>
                <w:rFonts w:ascii="Calibri" w:eastAsia="Calibri" w:hAnsi="Calibri" w:cs="Calibri"/>
              </w:rPr>
            </w:pPr>
            <w:r>
              <w:rPr>
                <w:rFonts w:ascii="Calibri" w:eastAsia="Calibri" w:hAnsi="Calibri" w:cs="Calibri"/>
                <w:color w:val="000000"/>
              </w:rPr>
              <w:t>2 191</w:t>
            </w:r>
          </w:p>
        </w:tc>
        <w:tc>
          <w:tcPr>
            <w:tcW w:w="1727" w:type="dxa"/>
          </w:tcPr>
          <w:p w14:paraId="00000178"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79" w14:textId="77777777" w:rsidR="00511004" w:rsidRDefault="00511004">
            <w:pPr>
              <w:jc w:val="center"/>
              <w:rPr>
                <w:rFonts w:ascii="Calibri" w:eastAsia="Calibri" w:hAnsi="Calibri" w:cs="Calibri"/>
              </w:rPr>
            </w:pPr>
          </w:p>
        </w:tc>
      </w:tr>
      <w:tr w:rsidR="00511004" w14:paraId="2DD796E2" w14:textId="77777777" w:rsidTr="00803C3C">
        <w:tc>
          <w:tcPr>
            <w:tcW w:w="1727" w:type="dxa"/>
            <w:vMerge/>
          </w:tcPr>
          <w:p w14:paraId="0000017A"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7B" w14:textId="77777777" w:rsidR="00511004" w:rsidRDefault="00C93E4B">
            <w:pPr>
              <w:jc w:val="center"/>
              <w:rPr>
                <w:rFonts w:ascii="Calibri" w:eastAsia="Calibri" w:hAnsi="Calibri" w:cs="Calibri"/>
              </w:rPr>
            </w:pPr>
            <w:r>
              <w:rPr>
                <w:rFonts w:ascii="Calibri" w:eastAsia="Calibri" w:hAnsi="Calibri" w:cs="Calibri"/>
                <w:color w:val="000000"/>
              </w:rPr>
              <w:t>Other (PET)</w:t>
            </w:r>
          </w:p>
        </w:tc>
        <w:tc>
          <w:tcPr>
            <w:tcW w:w="1727" w:type="dxa"/>
          </w:tcPr>
          <w:p w14:paraId="0000017C" w14:textId="77777777" w:rsidR="00511004" w:rsidRDefault="00C93E4B">
            <w:pPr>
              <w:jc w:val="center"/>
              <w:rPr>
                <w:rFonts w:ascii="Calibri" w:eastAsia="Calibri" w:hAnsi="Calibri" w:cs="Calibri"/>
              </w:rPr>
            </w:pPr>
            <w:r>
              <w:rPr>
                <w:rFonts w:ascii="Calibri" w:eastAsia="Calibri" w:hAnsi="Calibri" w:cs="Calibri"/>
                <w:color w:val="000000"/>
              </w:rPr>
              <w:t>367</w:t>
            </w:r>
          </w:p>
        </w:tc>
        <w:tc>
          <w:tcPr>
            <w:tcW w:w="1727" w:type="dxa"/>
          </w:tcPr>
          <w:p w14:paraId="0000017D" w14:textId="77777777" w:rsidR="00511004" w:rsidRDefault="00C93E4B">
            <w:pPr>
              <w:jc w:val="center"/>
              <w:rPr>
                <w:rFonts w:ascii="Calibri" w:eastAsia="Calibri" w:hAnsi="Calibri" w:cs="Calibri"/>
              </w:rPr>
            </w:pPr>
            <w:r>
              <w:rPr>
                <w:rFonts w:ascii="Calibri" w:eastAsia="Calibri" w:hAnsi="Calibri" w:cs="Calibri"/>
              </w:rPr>
              <w:t>kg</w:t>
            </w:r>
          </w:p>
        </w:tc>
        <w:tc>
          <w:tcPr>
            <w:tcW w:w="1728" w:type="dxa"/>
          </w:tcPr>
          <w:p w14:paraId="0000017E" w14:textId="77777777" w:rsidR="00511004" w:rsidRDefault="00511004">
            <w:pPr>
              <w:jc w:val="center"/>
              <w:rPr>
                <w:rFonts w:ascii="Calibri" w:eastAsia="Calibri" w:hAnsi="Calibri" w:cs="Calibri"/>
              </w:rPr>
            </w:pPr>
          </w:p>
        </w:tc>
      </w:tr>
      <w:tr w:rsidR="00511004" w14:paraId="42C42DB3"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0000017F" w14:textId="77777777" w:rsidR="00511004" w:rsidRDefault="00511004">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0000180" w14:textId="77777777" w:rsidR="00511004" w:rsidRDefault="00C93E4B">
            <w:pPr>
              <w:jc w:val="center"/>
              <w:rPr>
                <w:rFonts w:ascii="Calibri" w:eastAsia="Calibri" w:hAnsi="Calibri" w:cs="Calibri"/>
              </w:rPr>
            </w:pPr>
            <w:r>
              <w:rPr>
                <w:rFonts w:ascii="Calibri" w:eastAsia="Calibri" w:hAnsi="Calibri" w:cs="Calibri"/>
                <w:color w:val="000000"/>
              </w:rPr>
              <w:t>Cardboard</w:t>
            </w:r>
          </w:p>
        </w:tc>
        <w:tc>
          <w:tcPr>
            <w:tcW w:w="1727" w:type="dxa"/>
          </w:tcPr>
          <w:p w14:paraId="00000181" w14:textId="77777777" w:rsidR="00511004" w:rsidRDefault="00C93E4B">
            <w:pPr>
              <w:jc w:val="center"/>
              <w:rPr>
                <w:rFonts w:ascii="Calibri" w:eastAsia="Calibri" w:hAnsi="Calibri" w:cs="Calibri"/>
              </w:rPr>
            </w:pPr>
            <w:r>
              <w:rPr>
                <w:rFonts w:ascii="Calibri" w:eastAsia="Calibri" w:hAnsi="Calibri" w:cs="Calibri"/>
                <w:color w:val="000000"/>
              </w:rPr>
              <w:t>525 190</w:t>
            </w:r>
          </w:p>
        </w:tc>
        <w:tc>
          <w:tcPr>
            <w:tcW w:w="1727" w:type="dxa"/>
          </w:tcPr>
          <w:p w14:paraId="00000182" w14:textId="77777777" w:rsidR="00511004" w:rsidRDefault="00511004">
            <w:pPr>
              <w:jc w:val="center"/>
              <w:rPr>
                <w:rFonts w:ascii="Calibri" w:eastAsia="Calibri" w:hAnsi="Calibri" w:cs="Calibri"/>
              </w:rPr>
            </w:pPr>
          </w:p>
        </w:tc>
        <w:tc>
          <w:tcPr>
            <w:tcW w:w="1728" w:type="dxa"/>
          </w:tcPr>
          <w:p w14:paraId="00000183" w14:textId="77777777" w:rsidR="00511004" w:rsidRDefault="00511004">
            <w:pPr>
              <w:jc w:val="center"/>
              <w:rPr>
                <w:rFonts w:ascii="Calibri" w:eastAsia="Calibri" w:hAnsi="Calibri" w:cs="Calibri"/>
              </w:rPr>
            </w:pPr>
          </w:p>
        </w:tc>
      </w:tr>
      <w:tr w:rsidR="00C63535" w14:paraId="767DDF01" w14:textId="77777777" w:rsidTr="00803C3C">
        <w:tc>
          <w:tcPr>
            <w:tcW w:w="1727" w:type="dxa"/>
            <w:vMerge w:val="restart"/>
          </w:tcPr>
          <w:p w14:paraId="05D29C13" w14:textId="15B534EF" w:rsidR="00C63535" w:rsidRDefault="00C63535" w:rsidP="0007606D">
            <w:pPr>
              <w:widowControl w:val="0"/>
              <w:pBdr>
                <w:top w:val="nil"/>
                <w:left w:val="nil"/>
                <w:bottom w:val="nil"/>
                <w:right w:val="nil"/>
                <w:between w:val="nil"/>
              </w:pBdr>
              <w:spacing w:line="276" w:lineRule="auto"/>
              <w:jc w:val="center"/>
              <w:rPr>
                <w:rFonts w:ascii="Calibri" w:eastAsia="Calibri" w:hAnsi="Calibri" w:cs="Calibri"/>
              </w:rPr>
            </w:pPr>
            <w:r>
              <w:rPr>
                <w:rFonts w:ascii="Calibri" w:eastAsia="Calibri" w:hAnsi="Calibri" w:cs="Calibri"/>
              </w:rPr>
              <w:t>Future- Sustainable Plastic</w:t>
            </w:r>
          </w:p>
        </w:tc>
        <w:tc>
          <w:tcPr>
            <w:tcW w:w="1727" w:type="dxa"/>
          </w:tcPr>
          <w:p w14:paraId="7BBA3A06" w14:textId="3006C44B" w:rsidR="00C63535" w:rsidRDefault="00C63535" w:rsidP="00C63535">
            <w:pPr>
              <w:jc w:val="center"/>
              <w:rPr>
                <w:rFonts w:ascii="Calibri" w:eastAsia="Calibri" w:hAnsi="Calibri" w:cs="Calibri"/>
                <w:color w:val="000000"/>
              </w:rPr>
            </w:pPr>
            <w:r>
              <w:rPr>
                <w:rFonts w:ascii="Calibri" w:eastAsia="Calibri" w:hAnsi="Calibri" w:cs="Calibri"/>
              </w:rPr>
              <w:t>PS</w:t>
            </w:r>
          </w:p>
        </w:tc>
        <w:tc>
          <w:tcPr>
            <w:tcW w:w="1727" w:type="dxa"/>
          </w:tcPr>
          <w:p w14:paraId="3250F011" w14:textId="0EA530CA" w:rsidR="00C63535" w:rsidRDefault="00C63535" w:rsidP="00C63535">
            <w:pPr>
              <w:jc w:val="center"/>
              <w:rPr>
                <w:rFonts w:ascii="Calibri" w:eastAsia="Calibri" w:hAnsi="Calibri" w:cs="Calibri"/>
                <w:color w:val="000000"/>
              </w:rPr>
            </w:pPr>
            <w:r>
              <w:rPr>
                <w:rFonts w:ascii="Calibri" w:eastAsia="Calibri" w:hAnsi="Calibri" w:cs="Calibri"/>
                <w:color w:val="000000"/>
              </w:rPr>
              <w:t>1 672</w:t>
            </w:r>
          </w:p>
        </w:tc>
        <w:tc>
          <w:tcPr>
            <w:tcW w:w="1727" w:type="dxa"/>
          </w:tcPr>
          <w:p w14:paraId="661687A0" w14:textId="724D6A0E" w:rsidR="00C63535" w:rsidRDefault="00C63535" w:rsidP="00C63535">
            <w:pPr>
              <w:jc w:val="center"/>
              <w:rPr>
                <w:rFonts w:ascii="Calibri" w:eastAsia="Calibri" w:hAnsi="Calibri" w:cs="Calibri"/>
              </w:rPr>
            </w:pPr>
            <w:r>
              <w:rPr>
                <w:rFonts w:ascii="Calibri" w:eastAsia="Calibri" w:hAnsi="Calibri" w:cs="Calibri"/>
              </w:rPr>
              <w:t>kg</w:t>
            </w:r>
          </w:p>
        </w:tc>
        <w:tc>
          <w:tcPr>
            <w:tcW w:w="1728" w:type="dxa"/>
          </w:tcPr>
          <w:p w14:paraId="095E01F6" w14:textId="77777777" w:rsidR="00C63535" w:rsidRDefault="00C63535" w:rsidP="00C63535">
            <w:pPr>
              <w:jc w:val="center"/>
              <w:rPr>
                <w:rFonts w:ascii="Calibri" w:eastAsia="Calibri" w:hAnsi="Calibri" w:cs="Calibri"/>
              </w:rPr>
            </w:pPr>
          </w:p>
        </w:tc>
      </w:tr>
      <w:tr w:rsidR="00C63535" w14:paraId="0E8A23C3"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55E122BF" w14:textId="77777777" w:rsidR="00C63535" w:rsidRDefault="00C63535" w:rsidP="00C63535">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38FEDD1E" w14:textId="1EEA8F87" w:rsidR="00C63535" w:rsidRDefault="00C63535" w:rsidP="00C63535">
            <w:pPr>
              <w:jc w:val="center"/>
              <w:rPr>
                <w:rFonts w:ascii="Calibri" w:eastAsia="Calibri" w:hAnsi="Calibri" w:cs="Calibri"/>
                <w:color w:val="000000"/>
              </w:rPr>
            </w:pPr>
            <w:r>
              <w:rPr>
                <w:rFonts w:ascii="Calibri" w:eastAsia="Calibri" w:hAnsi="Calibri" w:cs="Calibri"/>
                <w:color w:val="000000"/>
              </w:rPr>
              <w:t>Pots (PP)</w:t>
            </w:r>
          </w:p>
        </w:tc>
        <w:tc>
          <w:tcPr>
            <w:tcW w:w="1727" w:type="dxa"/>
          </w:tcPr>
          <w:p w14:paraId="247598AC" w14:textId="2790EC03" w:rsidR="00C63535" w:rsidRDefault="00C63535" w:rsidP="00C63535">
            <w:pPr>
              <w:jc w:val="center"/>
              <w:rPr>
                <w:rFonts w:ascii="Calibri" w:eastAsia="Calibri" w:hAnsi="Calibri" w:cs="Calibri"/>
                <w:color w:val="000000"/>
              </w:rPr>
            </w:pPr>
            <w:r>
              <w:rPr>
                <w:rFonts w:ascii="Calibri" w:eastAsia="Calibri" w:hAnsi="Calibri" w:cs="Calibri"/>
                <w:color w:val="000000"/>
              </w:rPr>
              <w:t>65 091</w:t>
            </w:r>
          </w:p>
        </w:tc>
        <w:tc>
          <w:tcPr>
            <w:tcW w:w="1727" w:type="dxa"/>
          </w:tcPr>
          <w:p w14:paraId="4E6ED0FB" w14:textId="7DBAEAE1" w:rsidR="00C63535" w:rsidRDefault="00C63535" w:rsidP="00C63535">
            <w:pPr>
              <w:jc w:val="center"/>
              <w:rPr>
                <w:rFonts w:ascii="Calibri" w:eastAsia="Calibri" w:hAnsi="Calibri" w:cs="Calibri"/>
              </w:rPr>
            </w:pPr>
            <w:r>
              <w:rPr>
                <w:rFonts w:ascii="Calibri" w:eastAsia="Calibri" w:hAnsi="Calibri" w:cs="Calibri"/>
              </w:rPr>
              <w:t>kg</w:t>
            </w:r>
          </w:p>
        </w:tc>
        <w:tc>
          <w:tcPr>
            <w:tcW w:w="1728" w:type="dxa"/>
          </w:tcPr>
          <w:p w14:paraId="0C540680" w14:textId="06D1B7FF" w:rsidR="00C63535" w:rsidRDefault="00C63535" w:rsidP="00C63535">
            <w:pPr>
              <w:jc w:val="center"/>
              <w:rPr>
                <w:rFonts w:ascii="Calibri" w:eastAsia="Calibri" w:hAnsi="Calibri" w:cs="Calibri"/>
              </w:rPr>
            </w:pPr>
            <w:r>
              <w:rPr>
                <w:rFonts w:ascii="Calibri" w:eastAsia="Calibri" w:hAnsi="Calibri" w:cs="Calibri"/>
              </w:rPr>
              <w:t>Green Recycled</w:t>
            </w:r>
          </w:p>
        </w:tc>
      </w:tr>
      <w:tr w:rsidR="00C63535" w14:paraId="3691E070" w14:textId="77777777" w:rsidTr="00803C3C">
        <w:tc>
          <w:tcPr>
            <w:tcW w:w="1727" w:type="dxa"/>
            <w:vMerge/>
          </w:tcPr>
          <w:p w14:paraId="648A9959" w14:textId="77777777" w:rsidR="00C63535" w:rsidRDefault="00C63535" w:rsidP="00C63535">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3429DD4D" w14:textId="368C67A9" w:rsidR="00C63535" w:rsidRDefault="00C63535" w:rsidP="00C63535">
            <w:pPr>
              <w:jc w:val="center"/>
              <w:rPr>
                <w:rFonts w:ascii="Calibri" w:eastAsia="Calibri" w:hAnsi="Calibri" w:cs="Calibri"/>
                <w:color w:val="000000"/>
              </w:rPr>
            </w:pPr>
            <w:r>
              <w:rPr>
                <w:rFonts w:ascii="Calibri" w:eastAsia="Calibri" w:hAnsi="Calibri" w:cs="Calibri"/>
                <w:color w:val="000000"/>
              </w:rPr>
              <w:t>Trays (PP)</w:t>
            </w:r>
          </w:p>
        </w:tc>
        <w:tc>
          <w:tcPr>
            <w:tcW w:w="1727" w:type="dxa"/>
          </w:tcPr>
          <w:p w14:paraId="451B9103" w14:textId="437196CF" w:rsidR="00C63535" w:rsidRDefault="00C63535" w:rsidP="00C63535">
            <w:pPr>
              <w:jc w:val="center"/>
              <w:rPr>
                <w:rFonts w:ascii="Calibri" w:eastAsia="Calibri" w:hAnsi="Calibri" w:cs="Calibri"/>
                <w:color w:val="000000"/>
              </w:rPr>
            </w:pPr>
            <w:r>
              <w:rPr>
                <w:rFonts w:ascii="Calibri" w:eastAsia="Calibri" w:hAnsi="Calibri" w:cs="Calibri"/>
                <w:color w:val="000000"/>
              </w:rPr>
              <w:t>57 795</w:t>
            </w:r>
          </w:p>
        </w:tc>
        <w:tc>
          <w:tcPr>
            <w:tcW w:w="1727" w:type="dxa"/>
          </w:tcPr>
          <w:p w14:paraId="4D970937" w14:textId="77B369EC" w:rsidR="00C63535" w:rsidRDefault="00C63535" w:rsidP="00C63535">
            <w:pPr>
              <w:jc w:val="center"/>
              <w:rPr>
                <w:rFonts w:ascii="Calibri" w:eastAsia="Calibri" w:hAnsi="Calibri" w:cs="Calibri"/>
              </w:rPr>
            </w:pPr>
            <w:r>
              <w:rPr>
                <w:rFonts w:ascii="Calibri" w:eastAsia="Calibri" w:hAnsi="Calibri" w:cs="Calibri"/>
              </w:rPr>
              <w:t>kg</w:t>
            </w:r>
          </w:p>
        </w:tc>
        <w:tc>
          <w:tcPr>
            <w:tcW w:w="1728" w:type="dxa"/>
          </w:tcPr>
          <w:p w14:paraId="364956C0" w14:textId="38F38410" w:rsidR="00C63535" w:rsidRDefault="00C63535" w:rsidP="00C63535">
            <w:pPr>
              <w:jc w:val="center"/>
              <w:rPr>
                <w:rFonts w:ascii="Calibri" w:eastAsia="Calibri" w:hAnsi="Calibri" w:cs="Calibri"/>
              </w:rPr>
            </w:pPr>
            <w:r>
              <w:rPr>
                <w:rFonts w:ascii="Calibri" w:eastAsia="Calibri" w:hAnsi="Calibri" w:cs="Calibri"/>
              </w:rPr>
              <w:t>Green Recycled</w:t>
            </w:r>
          </w:p>
        </w:tc>
      </w:tr>
      <w:tr w:rsidR="00C63535" w14:paraId="3CA3E1DD"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155BF69E" w14:textId="77777777" w:rsidR="00C63535" w:rsidRDefault="00C63535" w:rsidP="00C63535">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0410BB48" w14:textId="5FB07F22" w:rsidR="00C63535" w:rsidRDefault="00C63535" w:rsidP="00C63535">
            <w:pPr>
              <w:jc w:val="center"/>
              <w:rPr>
                <w:rFonts w:ascii="Calibri" w:eastAsia="Calibri" w:hAnsi="Calibri" w:cs="Calibri"/>
                <w:color w:val="000000"/>
              </w:rPr>
            </w:pPr>
            <w:r>
              <w:rPr>
                <w:rFonts w:ascii="Calibri" w:eastAsia="Calibri" w:hAnsi="Calibri" w:cs="Calibri"/>
                <w:color w:val="000000"/>
              </w:rPr>
              <w:t>Sleeves (Recycled PE)</w:t>
            </w:r>
          </w:p>
        </w:tc>
        <w:tc>
          <w:tcPr>
            <w:tcW w:w="1727" w:type="dxa"/>
          </w:tcPr>
          <w:p w14:paraId="10ED6F42" w14:textId="5228767B" w:rsidR="00C63535" w:rsidRPr="00C63535" w:rsidRDefault="00C63535" w:rsidP="00C63535">
            <w:pPr>
              <w:jc w:val="center"/>
              <w:rPr>
                <w:rFonts w:ascii="Calibri" w:eastAsia="Calibri" w:hAnsi="Calibri" w:cs="Calibri"/>
                <w:color w:val="000000"/>
              </w:rPr>
            </w:pPr>
            <w:r w:rsidRPr="00C63535">
              <w:rPr>
                <w:rFonts w:ascii="Calibri" w:eastAsia="Calibri" w:hAnsi="Calibri" w:cs="Calibri"/>
                <w:color w:val="000000"/>
              </w:rPr>
              <w:t>100 981</w:t>
            </w:r>
          </w:p>
        </w:tc>
        <w:tc>
          <w:tcPr>
            <w:tcW w:w="1727" w:type="dxa"/>
          </w:tcPr>
          <w:p w14:paraId="7FD1EFFE" w14:textId="6B0FD142" w:rsidR="00C63535" w:rsidRPr="00C63535" w:rsidRDefault="00C63535" w:rsidP="00C63535">
            <w:pPr>
              <w:jc w:val="center"/>
              <w:rPr>
                <w:rFonts w:ascii="Calibri" w:eastAsia="Calibri" w:hAnsi="Calibri" w:cs="Calibri"/>
              </w:rPr>
            </w:pPr>
            <w:r w:rsidRPr="00C63535">
              <w:rPr>
                <w:rFonts w:ascii="Calibri" w:eastAsia="Calibri" w:hAnsi="Calibri" w:cs="Calibri"/>
              </w:rPr>
              <w:t>kg</w:t>
            </w:r>
          </w:p>
        </w:tc>
        <w:tc>
          <w:tcPr>
            <w:tcW w:w="1728" w:type="dxa"/>
          </w:tcPr>
          <w:p w14:paraId="33F0EC3E" w14:textId="77777777" w:rsidR="00C63535" w:rsidRDefault="00C63535" w:rsidP="00C63535">
            <w:pPr>
              <w:jc w:val="center"/>
              <w:rPr>
                <w:rFonts w:ascii="Calibri" w:eastAsia="Calibri" w:hAnsi="Calibri" w:cs="Calibri"/>
              </w:rPr>
            </w:pPr>
          </w:p>
        </w:tc>
      </w:tr>
      <w:tr w:rsidR="00C63535" w14:paraId="0B5BD49F" w14:textId="77777777" w:rsidTr="00803C3C">
        <w:tc>
          <w:tcPr>
            <w:tcW w:w="1727" w:type="dxa"/>
            <w:vMerge/>
          </w:tcPr>
          <w:p w14:paraId="761C9EDE" w14:textId="77777777" w:rsidR="00C63535" w:rsidRDefault="00C63535" w:rsidP="00C63535">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4307A4B5" w14:textId="58DBC351" w:rsidR="00C63535" w:rsidRDefault="00C63535" w:rsidP="00C63535">
            <w:pPr>
              <w:jc w:val="center"/>
              <w:rPr>
                <w:rFonts w:ascii="Calibri" w:eastAsia="Calibri" w:hAnsi="Calibri" w:cs="Calibri"/>
                <w:color w:val="000000"/>
              </w:rPr>
            </w:pPr>
            <w:r>
              <w:rPr>
                <w:rFonts w:ascii="Calibri" w:eastAsia="Calibri" w:hAnsi="Calibri" w:cs="Calibri"/>
                <w:color w:val="000000"/>
              </w:rPr>
              <w:t>Wrapping (LLDEPE)</w:t>
            </w:r>
          </w:p>
        </w:tc>
        <w:tc>
          <w:tcPr>
            <w:tcW w:w="1727" w:type="dxa"/>
          </w:tcPr>
          <w:p w14:paraId="1746898D" w14:textId="01E0DB76" w:rsidR="00C63535" w:rsidRDefault="00C63535" w:rsidP="00C63535">
            <w:pPr>
              <w:jc w:val="center"/>
              <w:rPr>
                <w:rFonts w:ascii="Calibri" w:eastAsia="Calibri" w:hAnsi="Calibri" w:cs="Calibri"/>
                <w:color w:val="000000"/>
              </w:rPr>
            </w:pPr>
            <w:r>
              <w:rPr>
                <w:rFonts w:ascii="Calibri" w:eastAsia="Calibri" w:hAnsi="Calibri" w:cs="Calibri"/>
                <w:color w:val="000000"/>
              </w:rPr>
              <w:t>2 191</w:t>
            </w:r>
          </w:p>
        </w:tc>
        <w:tc>
          <w:tcPr>
            <w:tcW w:w="1727" w:type="dxa"/>
          </w:tcPr>
          <w:p w14:paraId="081798E1" w14:textId="2A4FF9F6" w:rsidR="00C63535" w:rsidRDefault="00C63535" w:rsidP="00C63535">
            <w:pPr>
              <w:jc w:val="center"/>
              <w:rPr>
                <w:rFonts w:ascii="Calibri" w:eastAsia="Calibri" w:hAnsi="Calibri" w:cs="Calibri"/>
              </w:rPr>
            </w:pPr>
            <w:r>
              <w:rPr>
                <w:rFonts w:ascii="Calibri" w:eastAsia="Calibri" w:hAnsi="Calibri" w:cs="Calibri"/>
              </w:rPr>
              <w:t>kg</w:t>
            </w:r>
          </w:p>
        </w:tc>
        <w:tc>
          <w:tcPr>
            <w:tcW w:w="1728" w:type="dxa"/>
          </w:tcPr>
          <w:p w14:paraId="0C509B20" w14:textId="77777777" w:rsidR="00C63535" w:rsidRDefault="00C63535" w:rsidP="00C63535">
            <w:pPr>
              <w:jc w:val="center"/>
              <w:rPr>
                <w:rFonts w:ascii="Calibri" w:eastAsia="Calibri" w:hAnsi="Calibri" w:cs="Calibri"/>
              </w:rPr>
            </w:pPr>
          </w:p>
        </w:tc>
      </w:tr>
      <w:tr w:rsidR="00C63535" w14:paraId="7ED455F6" w14:textId="77777777" w:rsidTr="00803C3C">
        <w:trPr>
          <w:cnfStyle w:val="000000100000" w:firstRow="0" w:lastRow="0" w:firstColumn="0" w:lastColumn="0" w:oddVBand="0" w:evenVBand="0" w:oddHBand="1" w:evenHBand="0" w:firstRowFirstColumn="0" w:firstRowLastColumn="0" w:lastRowFirstColumn="0" w:lastRowLastColumn="0"/>
        </w:trPr>
        <w:tc>
          <w:tcPr>
            <w:tcW w:w="1727" w:type="dxa"/>
            <w:vMerge/>
          </w:tcPr>
          <w:p w14:paraId="5CF8A1DD" w14:textId="77777777" w:rsidR="00C63535" w:rsidRDefault="00C63535" w:rsidP="00C63535">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49668DC6" w14:textId="59351FC5" w:rsidR="00C63535" w:rsidRDefault="00C63535" w:rsidP="00C63535">
            <w:pPr>
              <w:jc w:val="center"/>
              <w:rPr>
                <w:rFonts w:ascii="Calibri" w:eastAsia="Calibri" w:hAnsi="Calibri" w:cs="Calibri"/>
                <w:color w:val="000000"/>
              </w:rPr>
            </w:pPr>
            <w:r>
              <w:rPr>
                <w:rFonts w:ascii="Calibri" w:eastAsia="Calibri" w:hAnsi="Calibri" w:cs="Calibri"/>
                <w:color w:val="000000"/>
              </w:rPr>
              <w:t>Other (PET)</w:t>
            </w:r>
          </w:p>
        </w:tc>
        <w:tc>
          <w:tcPr>
            <w:tcW w:w="1727" w:type="dxa"/>
          </w:tcPr>
          <w:p w14:paraId="7E59D3BF" w14:textId="6610AB65" w:rsidR="00C63535" w:rsidRDefault="00C63535" w:rsidP="00C63535">
            <w:pPr>
              <w:jc w:val="center"/>
              <w:rPr>
                <w:rFonts w:ascii="Calibri" w:eastAsia="Calibri" w:hAnsi="Calibri" w:cs="Calibri"/>
                <w:color w:val="000000"/>
              </w:rPr>
            </w:pPr>
            <w:r>
              <w:rPr>
                <w:rFonts w:ascii="Calibri" w:eastAsia="Calibri" w:hAnsi="Calibri" w:cs="Calibri"/>
                <w:color w:val="000000"/>
              </w:rPr>
              <w:t>367</w:t>
            </w:r>
          </w:p>
        </w:tc>
        <w:tc>
          <w:tcPr>
            <w:tcW w:w="1727" w:type="dxa"/>
          </w:tcPr>
          <w:p w14:paraId="571D3907" w14:textId="288C31F0" w:rsidR="00C63535" w:rsidRDefault="00C63535" w:rsidP="00C63535">
            <w:pPr>
              <w:jc w:val="center"/>
              <w:rPr>
                <w:rFonts w:ascii="Calibri" w:eastAsia="Calibri" w:hAnsi="Calibri" w:cs="Calibri"/>
              </w:rPr>
            </w:pPr>
            <w:r>
              <w:rPr>
                <w:rFonts w:ascii="Calibri" w:eastAsia="Calibri" w:hAnsi="Calibri" w:cs="Calibri"/>
              </w:rPr>
              <w:t>kg</w:t>
            </w:r>
          </w:p>
        </w:tc>
        <w:tc>
          <w:tcPr>
            <w:tcW w:w="1728" w:type="dxa"/>
          </w:tcPr>
          <w:p w14:paraId="17219817" w14:textId="77777777" w:rsidR="00C63535" w:rsidRDefault="00C63535" w:rsidP="00C63535">
            <w:pPr>
              <w:jc w:val="center"/>
              <w:rPr>
                <w:rFonts w:ascii="Calibri" w:eastAsia="Calibri" w:hAnsi="Calibri" w:cs="Calibri"/>
              </w:rPr>
            </w:pPr>
          </w:p>
        </w:tc>
      </w:tr>
      <w:tr w:rsidR="00C63535" w14:paraId="21944959" w14:textId="77777777" w:rsidTr="00803C3C">
        <w:tc>
          <w:tcPr>
            <w:tcW w:w="1727" w:type="dxa"/>
            <w:vMerge/>
          </w:tcPr>
          <w:p w14:paraId="32F2B3A2" w14:textId="77777777" w:rsidR="00C63535" w:rsidRDefault="00C63535" w:rsidP="00C63535">
            <w:pPr>
              <w:widowControl w:val="0"/>
              <w:pBdr>
                <w:top w:val="nil"/>
                <w:left w:val="nil"/>
                <w:bottom w:val="nil"/>
                <w:right w:val="nil"/>
                <w:between w:val="nil"/>
              </w:pBdr>
              <w:spacing w:line="276" w:lineRule="auto"/>
              <w:rPr>
                <w:rFonts w:ascii="Calibri" w:eastAsia="Calibri" w:hAnsi="Calibri" w:cs="Calibri"/>
              </w:rPr>
            </w:pPr>
          </w:p>
        </w:tc>
        <w:tc>
          <w:tcPr>
            <w:tcW w:w="1727" w:type="dxa"/>
          </w:tcPr>
          <w:p w14:paraId="23E20BAB" w14:textId="25647B69" w:rsidR="00C63535" w:rsidRDefault="00C63535" w:rsidP="00C63535">
            <w:pPr>
              <w:jc w:val="center"/>
              <w:rPr>
                <w:rFonts w:ascii="Calibri" w:eastAsia="Calibri" w:hAnsi="Calibri" w:cs="Calibri"/>
                <w:color w:val="000000"/>
              </w:rPr>
            </w:pPr>
            <w:r>
              <w:rPr>
                <w:rFonts w:ascii="Calibri" w:eastAsia="Calibri" w:hAnsi="Calibri" w:cs="Calibri"/>
                <w:color w:val="000000"/>
              </w:rPr>
              <w:t>Cardboard</w:t>
            </w:r>
          </w:p>
        </w:tc>
        <w:tc>
          <w:tcPr>
            <w:tcW w:w="1727" w:type="dxa"/>
          </w:tcPr>
          <w:p w14:paraId="31E67357" w14:textId="1ADF3FF7" w:rsidR="00C63535" w:rsidRDefault="00C63535" w:rsidP="00C63535">
            <w:pPr>
              <w:jc w:val="center"/>
              <w:rPr>
                <w:rFonts w:ascii="Calibri" w:eastAsia="Calibri" w:hAnsi="Calibri" w:cs="Calibri"/>
                <w:color w:val="000000"/>
              </w:rPr>
            </w:pPr>
            <w:r>
              <w:rPr>
                <w:rFonts w:ascii="Calibri" w:eastAsia="Calibri" w:hAnsi="Calibri" w:cs="Calibri"/>
                <w:color w:val="000000"/>
              </w:rPr>
              <w:t>525 190</w:t>
            </w:r>
          </w:p>
        </w:tc>
        <w:tc>
          <w:tcPr>
            <w:tcW w:w="1727" w:type="dxa"/>
          </w:tcPr>
          <w:p w14:paraId="70E3B0BC" w14:textId="32F86D98" w:rsidR="00C63535" w:rsidRDefault="009C19CE" w:rsidP="00C63535">
            <w:pPr>
              <w:jc w:val="center"/>
              <w:rPr>
                <w:rFonts w:ascii="Calibri" w:eastAsia="Calibri" w:hAnsi="Calibri" w:cs="Calibri"/>
              </w:rPr>
            </w:pPr>
            <w:r>
              <w:rPr>
                <w:rFonts w:ascii="Calibri" w:eastAsia="Calibri" w:hAnsi="Calibri" w:cs="Calibri"/>
              </w:rPr>
              <w:t>kg</w:t>
            </w:r>
          </w:p>
        </w:tc>
        <w:tc>
          <w:tcPr>
            <w:tcW w:w="1728" w:type="dxa"/>
          </w:tcPr>
          <w:p w14:paraId="6A001E38" w14:textId="77777777" w:rsidR="00C63535" w:rsidRDefault="00C63535" w:rsidP="00C63535">
            <w:pPr>
              <w:jc w:val="center"/>
              <w:rPr>
                <w:rFonts w:ascii="Calibri" w:eastAsia="Calibri" w:hAnsi="Calibri" w:cs="Calibri"/>
              </w:rPr>
            </w:pPr>
          </w:p>
        </w:tc>
      </w:tr>
    </w:tbl>
    <w:p w14:paraId="00000184" w14:textId="77777777" w:rsidR="00511004" w:rsidRDefault="00511004"/>
    <w:p w14:paraId="00000188" w14:textId="1A3D7563" w:rsidR="00511004" w:rsidRPr="00037B32" w:rsidRDefault="00C93E4B" w:rsidP="004F245A">
      <w:pPr>
        <w:pStyle w:val="Heading2"/>
      </w:pPr>
      <w:r w:rsidRPr="00037B32">
        <w:t>Pellet Burner</w:t>
      </w:r>
      <w:r w:rsidR="00037B32" w:rsidRPr="00037B32">
        <w:t xml:space="preserve"> Scenario</w:t>
      </w:r>
    </w:p>
    <w:p w14:paraId="662CFAFD" w14:textId="7AA55A30" w:rsidR="001C0173" w:rsidRPr="001C0173" w:rsidRDefault="008634B2">
      <w:proofErr w:type="spellStart"/>
      <w:r>
        <w:t>Svegro</w:t>
      </w:r>
      <w:proofErr w:type="spellEnd"/>
      <w:r w:rsidR="00C93E4B" w:rsidRPr="00037B32">
        <w:t xml:space="preserve"> </w:t>
      </w:r>
      <w:r w:rsidR="00037B32" w:rsidRPr="00037B32">
        <w:t xml:space="preserve">switched from </w:t>
      </w:r>
      <w:r w:rsidR="0007606D">
        <w:t>a bio-oil-based b</w:t>
      </w:r>
      <w:r w:rsidR="00037B32" w:rsidRPr="00037B32">
        <w:t>urner to</w:t>
      </w:r>
      <w:r w:rsidR="00C93E4B" w:rsidRPr="00037B32">
        <w:t xml:space="preserve"> two wood-pellet burners and auxiliary equipment to supply heat to the greenhouse. </w:t>
      </w:r>
      <w:r w:rsidR="00037B32" w:rsidRPr="00037B32">
        <w:t xml:space="preserve">For this change, added infrastructure, </w:t>
      </w:r>
      <w:proofErr w:type="gramStart"/>
      <w:r w:rsidR="00037B32" w:rsidRPr="00037B32">
        <w:t>i.e.</w:t>
      </w:r>
      <w:proofErr w:type="gramEnd"/>
      <w:r w:rsidR="00037B32" w:rsidRPr="00037B32">
        <w:t xml:space="preserve"> a pellet furnace was included (see LCI dataset above). Furthermore, in the previous scenario</w:t>
      </w:r>
      <w:r w:rsidR="00037B32">
        <w:t>,</w:t>
      </w:r>
      <w:r w:rsidR="00037B32" w:rsidRPr="00037B32">
        <w:t xml:space="preserve"> it was assumed that the bio-oil was tall oil (</w:t>
      </w:r>
      <w:r w:rsidR="006E09A3">
        <w:t xml:space="preserve">Ecoinvent </w:t>
      </w:r>
      <w:proofErr w:type="gramStart"/>
      <w:r w:rsidR="006E09A3">
        <w:t>dataset :</w:t>
      </w:r>
      <w:proofErr w:type="gramEnd"/>
      <w:r w:rsidR="006E09A3">
        <w:t xml:space="preserve"> </w:t>
      </w:r>
      <w:r w:rsidR="00037B32" w:rsidRPr="00037B32">
        <w:t>market for tall oil, crude), as no other datasets for bio-oil were available. For the calculations of the energy density of the pellets and bio-oil, i</w:t>
      </w:r>
      <w:r w:rsidR="001C0173" w:rsidRPr="00037B32">
        <w:t xml:space="preserve">t was assumed that 1 tonne of pellets </w:t>
      </w:r>
      <w:r w:rsidR="0007606D">
        <w:t>has</w:t>
      </w:r>
      <w:r w:rsidR="001C0173" w:rsidRPr="00037B32">
        <w:t xml:space="preserve"> </w:t>
      </w:r>
      <w:r w:rsidR="006E09A3">
        <w:t xml:space="preserve">a </w:t>
      </w:r>
      <w:r w:rsidR="001C0173" w:rsidRPr="00037B32">
        <w:t>lower heating value of 4</w:t>
      </w:r>
      <w:r w:rsidR="006E09A3">
        <w:t xml:space="preserve"> </w:t>
      </w:r>
      <w:r w:rsidR="001C0173" w:rsidRPr="00037B32">
        <w:t>800 kWh. In contrast, 1 m</w:t>
      </w:r>
      <w:r w:rsidR="001C0173" w:rsidRPr="00037B32">
        <w:rPr>
          <w:vertAlign w:val="superscript"/>
        </w:rPr>
        <w:t>3</w:t>
      </w:r>
      <w:r w:rsidR="001C0173" w:rsidRPr="00037B32">
        <w:t xml:space="preserve"> of bio-oil was </w:t>
      </w:r>
      <w:r w:rsidR="00037B32" w:rsidRPr="00037B32">
        <w:t>assumed</w:t>
      </w:r>
      <w:r w:rsidR="00037B32">
        <w:t xml:space="preserve"> </w:t>
      </w:r>
      <w:r w:rsidR="00037B32" w:rsidRPr="00037B32">
        <w:t xml:space="preserve">to have </w:t>
      </w:r>
      <w:r w:rsidR="001C0173" w:rsidRPr="00037B32">
        <w:t>8</w:t>
      </w:r>
      <w:r w:rsidR="00037B32" w:rsidRPr="00037B32">
        <w:t xml:space="preserve"> </w:t>
      </w:r>
      <w:r w:rsidR="001C0173" w:rsidRPr="00037B32">
        <w:t>925 kWh.</w:t>
      </w:r>
      <w:r w:rsidR="001C0173" w:rsidRPr="001C0173">
        <w:t xml:space="preserve"> </w:t>
      </w:r>
    </w:p>
    <w:p w14:paraId="00000195" w14:textId="77777777" w:rsidR="00511004" w:rsidRPr="00D83AC6" w:rsidRDefault="00C93E4B" w:rsidP="004F245A">
      <w:pPr>
        <w:pStyle w:val="Heading2"/>
      </w:pPr>
      <w:r w:rsidRPr="00D83AC6">
        <w:t>Organic Fertilizers-2016</w:t>
      </w:r>
    </w:p>
    <w:p w14:paraId="0000019C" w14:textId="294D23A4" w:rsidR="00511004" w:rsidRPr="00D83AC6" w:rsidRDefault="006E09A3">
      <w:r>
        <w:t xml:space="preserve">As outlined in the main text, in the scenario ‘Organic </w:t>
      </w:r>
      <w:proofErr w:type="spellStart"/>
      <w:r>
        <w:t>Fertlizers</w:t>
      </w:r>
      <w:proofErr w:type="spellEnd"/>
      <w:r w:rsidR="005C34D2">
        <w:t>,</w:t>
      </w:r>
      <w:r>
        <w:t xml:space="preserve">’ </w:t>
      </w:r>
      <w:proofErr w:type="spellStart"/>
      <w:r>
        <w:t>Svegro</w:t>
      </w:r>
      <w:proofErr w:type="spellEnd"/>
      <w:r>
        <w:t xml:space="preserve"> converted from conventional to organic fertilizers. This entailed the development of a new system to deliver the organic fertilizer to the NFT system. Overall</w:t>
      </w:r>
      <w:r w:rsidR="005C34D2">
        <w:t>,</w:t>
      </w:r>
      <w:r>
        <w:t xml:space="preserve"> this included adding nitrification tanks for the organic fertilizer, pumps, and filters.</w:t>
      </w:r>
      <w:r w:rsidR="00C93E4B" w:rsidRPr="00D83AC6">
        <w:t xml:space="preserve"> </w:t>
      </w:r>
      <w:r w:rsidR="00C93E4B">
        <w:t xml:space="preserve">For the nitrification process, </w:t>
      </w:r>
      <w:r>
        <w:t xml:space="preserve">in total it was assumed that </w:t>
      </w:r>
      <w:r w:rsidR="00037B32">
        <w:t xml:space="preserve">5 </w:t>
      </w:r>
      <w:r w:rsidR="00C93E4B">
        <w:t>additional water reservoir</w:t>
      </w:r>
      <w:r w:rsidR="00037B32">
        <w:t>s</w:t>
      </w:r>
      <w:r w:rsidR="00C93E4B">
        <w:t xml:space="preserve"> </w:t>
      </w:r>
      <w:r w:rsidR="00037B32">
        <w:t>were included</w:t>
      </w:r>
      <w:r w:rsidR="00C93E4B">
        <w:t xml:space="preserve"> </w:t>
      </w:r>
      <w:r w:rsidR="00037B32">
        <w:t>(po</w:t>
      </w:r>
      <w:r w:rsidR="00C93E4B">
        <w:t>lyethylene</w:t>
      </w:r>
      <w:r w:rsidR="00037B32">
        <w:t xml:space="preserve"> IBU tanks)</w:t>
      </w:r>
      <w:r w:rsidR="00C93E4B">
        <w:t xml:space="preserve"> in </w:t>
      </w:r>
      <w:r w:rsidR="00C93E4B">
        <w:lastRenderedPageBreak/>
        <w:t>addition to biofilm carriers in the tank to aid in the nitrification</w:t>
      </w:r>
      <w:r>
        <w:t xml:space="preserve">. These were </w:t>
      </w:r>
      <w:r w:rsidR="00C93E4B">
        <w:t>assumed to be roughly 2 kg total per year of polyethylene</w:t>
      </w:r>
      <w:r w:rsidR="00037B32">
        <w:t xml:space="preserve"> per tank</w:t>
      </w:r>
      <w:r w:rsidR="00C93E4B">
        <w:t xml:space="preserve">. </w:t>
      </w:r>
      <w:r w:rsidR="00037B32">
        <w:t>For each take, a</w:t>
      </w:r>
      <w:r w:rsidR="00C93E4B">
        <w:t xml:space="preserve"> pump for aeration was also included, which was assumed to be a roughly 40W pump, requiring an additional</w:t>
      </w:r>
      <w:r w:rsidR="00037B32">
        <w:t xml:space="preserve"> 60</w:t>
      </w:r>
      <w:r w:rsidR="00C93E4B">
        <w:t xml:space="preserve"> kWh of electricity annually.</w:t>
      </w:r>
      <w:r w:rsidR="00D83AC6">
        <w:t xml:space="preserve"> </w:t>
      </w:r>
      <w:r w:rsidR="00037B32" w:rsidRPr="00D83AC6">
        <w:t xml:space="preserve">The organic fertilizers are developed based on food industry by-products. </w:t>
      </w:r>
      <w:r w:rsidR="00C93E4B" w:rsidRPr="00D83AC6">
        <w:t xml:space="preserve">Due to proprietary reasons, </w:t>
      </w:r>
      <w:r w:rsidR="00037B32">
        <w:t xml:space="preserve">the source of the organic fertilizer </w:t>
      </w:r>
      <w:r w:rsidR="00C93E4B" w:rsidRPr="00D83AC6">
        <w:t xml:space="preserve">is withheld in the article. However, the authors can provide information upon request. </w:t>
      </w:r>
    </w:p>
    <w:p w14:paraId="000001A3" w14:textId="77777777" w:rsidR="00511004" w:rsidRPr="00803C3C" w:rsidRDefault="00C93E4B" w:rsidP="004F245A">
      <w:pPr>
        <w:pStyle w:val="Heading2"/>
      </w:pPr>
      <w:r w:rsidRPr="00803C3C">
        <w:t>Future-Biofuel Transport</w:t>
      </w:r>
    </w:p>
    <w:p w14:paraId="7AAEB7EA" w14:textId="0F5D1F53" w:rsidR="00803C3C" w:rsidRPr="00803C3C" w:rsidRDefault="00803C3C" w:rsidP="00803C3C">
      <w:r w:rsidRPr="00803C3C">
        <w:t>As identified in the main text, i</w:t>
      </w:r>
      <w:r w:rsidR="00C93E4B" w:rsidRPr="00803C3C">
        <w:t xml:space="preserve">n the Current scenario, roughly 62% of the fuel employed in transportation is </w:t>
      </w:r>
      <w:r w:rsidRPr="00803C3C">
        <w:t xml:space="preserve">assumed to be </w:t>
      </w:r>
      <w:r w:rsidR="00C93E4B" w:rsidRPr="00803C3C">
        <w:t>biofuel</w:t>
      </w:r>
      <w:r w:rsidRPr="00803C3C">
        <w:t xml:space="preserve"> (</w:t>
      </w:r>
      <w:proofErr w:type="gramStart"/>
      <w:r w:rsidRPr="00803C3C">
        <w:t>i.e.</w:t>
      </w:r>
      <w:proofErr w:type="gramEnd"/>
      <w:r w:rsidRPr="00803C3C">
        <w:t xml:space="preserve"> FAME). For the Future-Biofuel Transport scenario, instead</w:t>
      </w:r>
      <w:r w:rsidR="005C34D2">
        <w:t>,</w:t>
      </w:r>
      <w:r w:rsidRPr="00803C3C">
        <w:t xml:space="preserve"> it is assumed that </w:t>
      </w:r>
      <w:r w:rsidR="00C93E4B" w:rsidRPr="00803C3C">
        <w:t>all transportation by truck is fueled with a mix of biodiesel (FAME) and Hydrotreated vegetable oil (HVO)</w:t>
      </w:r>
      <w:r w:rsidRPr="00803C3C">
        <w:t xml:space="preserve">, </w:t>
      </w:r>
      <w:proofErr w:type="gramStart"/>
      <w:r w:rsidRPr="00803C3C">
        <w:t>i.e.</w:t>
      </w:r>
      <w:proofErr w:type="gramEnd"/>
      <w:r w:rsidRPr="00803C3C">
        <w:t xml:space="preserve"> 50% of each</w:t>
      </w:r>
      <w:r w:rsidR="00C93E4B" w:rsidRPr="00803C3C">
        <w:t>.</w:t>
      </w:r>
      <w:r>
        <w:t xml:space="preserve"> Life cycle inventory data for transportation by truck are taken from Ecoinvent datasets (see above) and those provided by the Network for Transportation Measures (NTM) database</w:t>
      </w:r>
      <w:r>
        <w:rPr>
          <w:rStyle w:val="FootnoteReference"/>
        </w:rPr>
        <w:footnoteReference w:id="1"/>
      </w:r>
      <w:r>
        <w:t xml:space="preserve"> which provides datasets for Swedish transportation and fuel mixes. </w:t>
      </w:r>
    </w:p>
    <w:p w14:paraId="597DCB32" w14:textId="06E74409" w:rsidR="001972FF" w:rsidRPr="001972FF" w:rsidRDefault="006E09A3" w:rsidP="006E09A3">
      <w:pPr>
        <w:pStyle w:val="Heading2"/>
      </w:pPr>
      <w:r>
        <w:t xml:space="preserve">Future-Densify </w:t>
      </w:r>
    </w:p>
    <w:p w14:paraId="10F6E278" w14:textId="083D43F2" w:rsidR="001972FF" w:rsidRDefault="001972FF" w:rsidP="009C19CE">
      <w:r w:rsidRPr="001972FF">
        <w:t xml:space="preserve">For the Future-Densify scenario, additional gutters are added to the growing space. This is done by reducing the space between the gutters </w:t>
      </w:r>
      <w:proofErr w:type="gramStart"/>
      <w:r w:rsidRPr="001972FF">
        <w:t>in order to</w:t>
      </w:r>
      <w:proofErr w:type="gramEnd"/>
      <w:r w:rsidRPr="001972FF">
        <w:t xml:space="preserve"> accommodate for </w:t>
      </w:r>
      <w:r>
        <w:t xml:space="preserve">added </w:t>
      </w:r>
      <w:r w:rsidRPr="001972FF">
        <w:t>gutters. Figure S1 provides a depiction of this densification process</w:t>
      </w:r>
      <w:r>
        <w:t xml:space="preserve">, while Figure 1 in the main text also provides a depiction of plants in the gutters. </w:t>
      </w:r>
      <w:r w:rsidR="00654350">
        <w:t xml:space="preserve">The production output would increase from roughly </w:t>
      </w:r>
      <w:r w:rsidR="00654350" w:rsidRPr="00654350">
        <w:t>20</w:t>
      </w:r>
      <w:r w:rsidR="00654350">
        <w:t> </w:t>
      </w:r>
      <w:r w:rsidR="00654350" w:rsidRPr="00654350">
        <w:t>3</w:t>
      </w:r>
      <w:r w:rsidR="00654350">
        <w:t>30 000 to 30 500 000 plants annually</w:t>
      </w:r>
    </w:p>
    <w:p w14:paraId="594AC8E7" w14:textId="5BD64D0D" w:rsidR="001972FF" w:rsidRPr="001972FF" w:rsidRDefault="001972FF" w:rsidP="009C19CE">
      <w:r w:rsidRPr="001972FF">
        <w:t xml:space="preserve"> For this scenario, it is assumed</w:t>
      </w:r>
      <w:r>
        <w:t xml:space="preserve"> that a linear increase in</w:t>
      </w:r>
      <w:r w:rsidR="00654350">
        <w:t xml:space="preserve"> all inputs, </w:t>
      </w:r>
      <w:proofErr w:type="gramStart"/>
      <w:r w:rsidR="00654350">
        <w:t>e.g.</w:t>
      </w:r>
      <w:proofErr w:type="gramEnd"/>
      <w:r>
        <w:t xml:space="preserve"> water</w:t>
      </w:r>
      <w:r w:rsidR="00654350">
        <w:t>,</w:t>
      </w:r>
      <w:r>
        <w:t xml:space="preserve"> nutrients</w:t>
      </w:r>
      <w:r w:rsidR="00654350">
        <w:t xml:space="preserve">, </w:t>
      </w:r>
      <w:r>
        <w:t>growing media, seeds, etc.</w:t>
      </w:r>
      <w:r w:rsidR="00654350">
        <w:t xml:space="preserve"> are required. Additionally, it is assumed that no </w:t>
      </w:r>
      <w:r>
        <w:t xml:space="preserve">additional heating or lighting </w:t>
      </w:r>
      <w:r w:rsidR="00654350">
        <w:t>is</w:t>
      </w:r>
      <w:r>
        <w:t xml:space="preserve"> required</w:t>
      </w:r>
      <w:r w:rsidR="00654350">
        <w:t xml:space="preserve">, as tests in one of the greenhouse chambers have suggested that these are sufficient. </w:t>
      </w:r>
    </w:p>
    <w:p w14:paraId="0E646177" w14:textId="77777777" w:rsidR="0025756A" w:rsidRDefault="0025756A" w:rsidP="0025756A">
      <w:pPr>
        <w:keepNext/>
      </w:pPr>
      <w:r w:rsidRPr="0025756A">
        <w:rPr>
          <w:noProof/>
        </w:rPr>
        <w:lastRenderedPageBreak/>
        <w:drawing>
          <wp:inline distT="0" distB="0" distL="0" distR="0" wp14:anchorId="4CAC999B" wp14:editId="432A1964">
            <wp:extent cx="5887085" cy="2990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88" cy="2995404"/>
                    </a:xfrm>
                    <a:prstGeom prst="rect">
                      <a:avLst/>
                    </a:prstGeom>
                    <a:noFill/>
                  </pic:spPr>
                </pic:pic>
              </a:graphicData>
            </a:graphic>
          </wp:inline>
        </w:drawing>
      </w:r>
    </w:p>
    <w:p w14:paraId="7EF09030" w14:textId="7400758A" w:rsidR="0025756A" w:rsidRPr="0025756A" w:rsidRDefault="0025756A" w:rsidP="0025756A">
      <w:pPr>
        <w:pStyle w:val="Caption"/>
      </w:pPr>
      <w:r>
        <w:t xml:space="preserve">Figure </w:t>
      </w:r>
      <w:r w:rsidR="00C33FF9">
        <w:t>S</w:t>
      </w:r>
      <w:fldSimple w:instr=" SEQ Figure \* ARABIC ">
        <w:r>
          <w:rPr>
            <w:noProof/>
          </w:rPr>
          <w:t>1</w:t>
        </w:r>
      </w:fldSimple>
      <w:r>
        <w:t xml:space="preserve">: </w:t>
      </w:r>
      <w:proofErr w:type="gramStart"/>
      <w:r>
        <w:t>Top-view</w:t>
      </w:r>
      <w:proofErr w:type="gramEnd"/>
      <w:r>
        <w:t xml:space="preserve"> of gutters in the NFT system. The pictures depict a) original system with larger spacing between gutters, and b) depiction of the gutters with reduced spacing between as studied in the Future-Densification scenario. </w:t>
      </w:r>
    </w:p>
    <w:p w14:paraId="000001AE" w14:textId="082A9E0A" w:rsidR="00511004" w:rsidRDefault="00C93E4B" w:rsidP="004F245A">
      <w:pPr>
        <w:pStyle w:val="Heading1"/>
      </w:pPr>
      <w:r>
        <w:t>Lighting and Heating</w:t>
      </w:r>
      <w:r w:rsidR="00C1133B">
        <w:t xml:space="preserve"> Assumptions</w:t>
      </w:r>
    </w:p>
    <w:p w14:paraId="000001BA" w14:textId="217887DD" w:rsidR="00511004" w:rsidRDefault="006E09A3">
      <w:r>
        <w:t xml:space="preserve">For the different scenarios, with specific application in the Future-LED scenario, </w:t>
      </w:r>
      <w:r w:rsidR="00C93E4B">
        <w:t xml:space="preserve">HPS and LED lighting fixtures were modeled based on data available in Zhang et al. (2017). Table </w:t>
      </w:r>
      <w:r>
        <w:t>S2</w:t>
      </w:r>
      <w:r w:rsidR="00C93E4B">
        <w:t xml:space="preserve"> provides an overview of the materials and components, in addition to the weight, per fixture or armature. Each LED armature is assumed to have an effect of roughly 650 W, while each HPS light of roughly 1.25 kW. In the assessment, the assumed lifetime of the HPS lights was 10 000 hours while the LEDs were assumed to have a lifetime of 50 000 hours. At the end of the lifetime, the bulbs (in the case of the HPS lights) can be changed, while the LED armatures are assumed to be replaced after this period. For the study, we considered the overall lifetime of the materials in each system to have a lifetime of 30 years. Currently, an installed effect of roughly 7.9 MW is in place at </w:t>
      </w:r>
      <w:proofErr w:type="spellStart"/>
      <w:r w:rsidR="00C93E4B">
        <w:t>Svegro</w:t>
      </w:r>
      <w:proofErr w:type="spellEnd"/>
      <w:r w:rsidR="00C93E4B">
        <w:t xml:space="preserve">. </w:t>
      </w:r>
      <w:sdt>
        <w:sdtPr>
          <w:tag w:val="goog_rdk_0"/>
          <w:id w:val="-1979903107"/>
        </w:sdtPr>
        <w:sdtContent/>
      </w:sdt>
      <w:r w:rsidR="00C93E4B">
        <w:t xml:space="preserve">In total, there are roughly 6 400 HPS light fixtures in place at </w:t>
      </w:r>
      <w:proofErr w:type="spellStart"/>
      <w:r w:rsidR="00C93E4B">
        <w:t>Svegro</w:t>
      </w:r>
      <w:proofErr w:type="spellEnd"/>
      <w:r w:rsidR="00C93E4B">
        <w:t xml:space="preserve">. In total, roughly </w:t>
      </w:r>
      <w:r w:rsidR="00037B32">
        <w:t>5800</w:t>
      </w:r>
      <w:r w:rsidR="00C93E4B">
        <w:t xml:space="preserve"> LED fixtures</w:t>
      </w:r>
      <w:r w:rsidR="00037B32">
        <w:t xml:space="preserve"> with a rating of 650 W</w:t>
      </w:r>
      <w:r w:rsidR="00C93E4B">
        <w:t xml:space="preserve"> are assumed to be needed </w:t>
      </w:r>
      <w:r w:rsidR="00037B32">
        <w:t>in the greenhouse.</w:t>
      </w:r>
    </w:p>
    <w:p w14:paraId="622FBD5D" w14:textId="37D8C54A" w:rsidR="00C1133B" w:rsidRDefault="00C1133B" w:rsidP="00C1133B">
      <w:pPr>
        <w:pStyle w:val="Heading2"/>
      </w:pPr>
      <w:r>
        <w:t>Material Inputs for HPS and LED Lighting Fixtures</w:t>
      </w:r>
    </w:p>
    <w:p w14:paraId="121587DE" w14:textId="24096221" w:rsidR="00C1133B" w:rsidRDefault="00C1133B" w:rsidP="00C1133B">
      <w:r w:rsidRPr="009C19CE">
        <w:t>Table</w:t>
      </w:r>
      <w:r w:rsidR="00037B32" w:rsidRPr="009C19CE">
        <w:t xml:space="preserve"> S</w:t>
      </w:r>
      <w:r w:rsidR="00A52708">
        <w:t>4</w:t>
      </w:r>
      <w:r w:rsidR="00037B32" w:rsidRPr="009C19CE">
        <w:t xml:space="preserve"> </w:t>
      </w:r>
      <w:r w:rsidRPr="009C19CE">
        <w:t>provides a review of the</w:t>
      </w:r>
      <w:r w:rsidR="00CB7851">
        <w:t xml:space="preserve"> assumptions for</w:t>
      </w:r>
      <w:r w:rsidRPr="009C19CE">
        <w:t xml:space="preserve"> different</w:t>
      </w:r>
      <w:r w:rsidR="00037B32" w:rsidRPr="009C19CE">
        <w:t xml:space="preserve"> materials used </w:t>
      </w:r>
      <w:r w:rsidR="00CB7851">
        <w:t>for the lighting</w:t>
      </w:r>
      <w:r w:rsidR="00037B32" w:rsidRPr="009C19CE">
        <w:t xml:space="preserve"> fixture</w:t>
      </w:r>
      <w:r w:rsidR="00CB7851">
        <w:t>s</w:t>
      </w:r>
      <w:r w:rsidR="00037B32" w:rsidRPr="009C19CE">
        <w:t xml:space="preserve">. </w:t>
      </w:r>
      <w:r w:rsidRPr="009C19CE">
        <w:t>These values are based on</w:t>
      </w:r>
      <w:r w:rsidR="00037B32" w:rsidRPr="009C19CE">
        <w:t xml:space="preserve"> </w:t>
      </w:r>
      <w:r w:rsidR="009C19CE" w:rsidRPr="009C19CE">
        <w:t>Zhang et al. (2017).</w:t>
      </w:r>
    </w:p>
    <w:p w14:paraId="1706544C" w14:textId="68DCA5F3" w:rsidR="00031F47" w:rsidRDefault="00031F47" w:rsidP="00C1133B"/>
    <w:p w14:paraId="73D739E9" w14:textId="77777777" w:rsidR="00031F47" w:rsidRDefault="00031F47" w:rsidP="00C1133B"/>
    <w:p w14:paraId="000001BB" w14:textId="490D3B52" w:rsidR="00511004" w:rsidRDefault="00C93E4B">
      <w:pPr>
        <w:keepNext/>
        <w:pBdr>
          <w:top w:val="nil"/>
          <w:left w:val="nil"/>
          <w:bottom w:val="nil"/>
          <w:right w:val="nil"/>
          <w:between w:val="nil"/>
        </w:pBdr>
        <w:spacing w:after="200" w:line="240" w:lineRule="auto"/>
        <w:rPr>
          <w:i/>
          <w:color w:val="44546A"/>
          <w:sz w:val="18"/>
          <w:szCs w:val="18"/>
        </w:rPr>
      </w:pPr>
      <w:r>
        <w:rPr>
          <w:i/>
          <w:color w:val="44546A"/>
          <w:sz w:val="18"/>
          <w:szCs w:val="18"/>
        </w:rPr>
        <w:lastRenderedPageBreak/>
        <w:t>Table S</w:t>
      </w:r>
      <w:r w:rsidR="00A52708">
        <w:rPr>
          <w:i/>
          <w:color w:val="44546A"/>
          <w:sz w:val="18"/>
          <w:szCs w:val="18"/>
        </w:rPr>
        <w:t>4</w:t>
      </w:r>
      <w:r>
        <w:rPr>
          <w:i/>
          <w:color w:val="44546A"/>
          <w:sz w:val="18"/>
          <w:szCs w:val="18"/>
        </w:rPr>
        <w:t>: Material Assumptions for the HPS and LED light fixtures</w:t>
      </w:r>
      <w:r w:rsidR="00654350">
        <w:rPr>
          <w:i/>
          <w:color w:val="44546A"/>
          <w:sz w:val="18"/>
          <w:szCs w:val="18"/>
        </w:rPr>
        <w:t xml:space="preserve"> based on Zhang et al. (2019. The table also includes the </w:t>
      </w:r>
      <w:r>
        <w:rPr>
          <w:i/>
          <w:color w:val="44546A"/>
          <w:sz w:val="18"/>
          <w:szCs w:val="18"/>
        </w:rPr>
        <w:t xml:space="preserve">LCI datasets employed from Ecoinvent v. 3.7 </w:t>
      </w:r>
    </w:p>
    <w:tbl>
      <w:tblPr>
        <w:tblStyle w:val="ListTable1Light-Accent2"/>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65"/>
        <w:gridCol w:w="1281"/>
        <w:gridCol w:w="3653"/>
      </w:tblGrid>
      <w:tr w:rsidR="00511004" w14:paraId="38128301" w14:textId="77777777" w:rsidTr="00803C3C">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tcPr>
          <w:p w14:paraId="000001BC" w14:textId="77777777" w:rsidR="00511004" w:rsidRDefault="00511004">
            <w:pPr>
              <w:spacing w:line="240" w:lineRule="auto"/>
              <w:jc w:val="center"/>
              <w:rPr>
                <w:rFonts w:ascii="Calibri" w:eastAsia="Calibri" w:hAnsi="Calibri" w:cs="Calibri"/>
                <w:color w:val="000000"/>
                <w:sz w:val="22"/>
                <w:szCs w:val="22"/>
              </w:rPr>
            </w:pPr>
          </w:p>
        </w:tc>
        <w:tc>
          <w:tcPr>
            <w:tcW w:w="1865" w:type="dxa"/>
            <w:tcBorders>
              <w:bottom w:val="none" w:sz="0" w:space="0" w:color="auto"/>
            </w:tcBorders>
          </w:tcPr>
          <w:p w14:paraId="000001BD" w14:textId="77777777" w:rsidR="00511004" w:rsidRDefault="00C93E4B">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Material</w:t>
            </w:r>
          </w:p>
        </w:tc>
        <w:tc>
          <w:tcPr>
            <w:tcW w:w="1281" w:type="dxa"/>
            <w:tcBorders>
              <w:bottom w:val="none" w:sz="0" w:space="0" w:color="auto"/>
            </w:tcBorders>
          </w:tcPr>
          <w:p w14:paraId="000001BE" w14:textId="77777777" w:rsidR="00511004" w:rsidRDefault="00C93E4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Amount (kg)</w:t>
            </w:r>
          </w:p>
        </w:tc>
        <w:tc>
          <w:tcPr>
            <w:tcW w:w="3653" w:type="dxa"/>
            <w:tcBorders>
              <w:bottom w:val="none" w:sz="0" w:space="0" w:color="auto"/>
            </w:tcBorders>
          </w:tcPr>
          <w:p w14:paraId="000001BF" w14:textId="77777777" w:rsidR="00511004" w:rsidRDefault="00C93E4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LCI Dataset</w:t>
            </w:r>
          </w:p>
        </w:tc>
      </w:tr>
      <w:tr w:rsidR="00511004" w14:paraId="39388E23" w14:textId="77777777" w:rsidTr="00803C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000001C0" w14:textId="77777777" w:rsidR="00511004" w:rsidRDefault="00C93E4B">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HPS Light Fixture</w:t>
            </w:r>
          </w:p>
        </w:tc>
        <w:tc>
          <w:tcPr>
            <w:tcW w:w="1865" w:type="dxa"/>
          </w:tcPr>
          <w:p w14:paraId="000001C1"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Aluminum</w:t>
            </w:r>
          </w:p>
        </w:tc>
        <w:tc>
          <w:tcPr>
            <w:tcW w:w="1281" w:type="dxa"/>
          </w:tcPr>
          <w:p w14:paraId="000001C2"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2.41</w:t>
            </w:r>
          </w:p>
        </w:tc>
        <w:tc>
          <w:tcPr>
            <w:tcW w:w="3653" w:type="dxa"/>
          </w:tcPr>
          <w:p w14:paraId="000001C3"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market for </w:t>
            </w:r>
            <w:proofErr w:type="spellStart"/>
            <w:r>
              <w:rPr>
                <w:rFonts w:ascii="Calibri" w:eastAsia="Calibri" w:hAnsi="Calibri" w:cs="Calibri"/>
                <w:color w:val="000000"/>
                <w:sz w:val="22"/>
                <w:szCs w:val="22"/>
              </w:rPr>
              <w:t>aluminium</w:t>
            </w:r>
            <w:proofErr w:type="spellEnd"/>
            <w:r>
              <w:rPr>
                <w:rFonts w:ascii="Calibri" w:eastAsia="Calibri" w:hAnsi="Calibri" w:cs="Calibri"/>
                <w:color w:val="000000"/>
                <w:sz w:val="22"/>
                <w:szCs w:val="22"/>
              </w:rPr>
              <w:t xml:space="preserve"> alloy, </w:t>
            </w:r>
            <w:proofErr w:type="spellStart"/>
            <w:r>
              <w:rPr>
                <w:rFonts w:ascii="Calibri" w:eastAsia="Calibri" w:hAnsi="Calibri" w:cs="Calibri"/>
                <w:color w:val="000000"/>
                <w:sz w:val="22"/>
                <w:szCs w:val="22"/>
              </w:rPr>
              <w:t>AlLi</w:t>
            </w:r>
            <w:proofErr w:type="spellEnd"/>
            <w:r>
              <w:rPr>
                <w:rFonts w:ascii="Calibri" w:eastAsia="Calibri" w:hAnsi="Calibri" w:cs="Calibri"/>
                <w:color w:val="000000"/>
                <w:sz w:val="22"/>
                <w:szCs w:val="22"/>
              </w:rPr>
              <w:t xml:space="preserve"> | </w:t>
            </w:r>
            <w:proofErr w:type="spellStart"/>
            <w:r>
              <w:rPr>
                <w:rFonts w:ascii="Calibri" w:eastAsia="Calibri" w:hAnsi="Calibri" w:cs="Calibri"/>
                <w:color w:val="000000"/>
                <w:sz w:val="22"/>
                <w:szCs w:val="22"/>
              </w:rPr>
              <w:t>aluminium</w:t>
            </w:r>
            <w:proofErr w:type="spellEnd"/>
            <w:r>
              <w:rPr>
                <w:rFonts w:ascii="Calibri" w:eastAsia="Calibri" w:hAnsi="Calibri" w:cs="Calibri"/>
                <w:color w:val="000000"/>
                <w:sz w:val="22"/>
                <w:szCs w:val="22"/>
              </w:rPr>
              <w:t xml:space="preserve"> alloy, </w:t>
            </w:r>
            <w:proofErr w:type="spellStart"/>
            <w:r>
              <w:rPr>
                <w:rFonts w:ascii="Calibri" w:eastAsia="Calibri" w:hAnsi="Calibri" w:cs="Calibri"/>
                <w:color w:val="000000"/>
                <w:sz w:val="22"/>
                <w:szCs w:val="22"/>
              </w:rPr>
              <w:t>AlLi</w:t>
            </w:r>
            <w:proofErr w:type="spellEnd"/>
            <w:r>
              <w:rPr>
                <w:rFonts w:ascii="Calibri" w:eastAsia="Calibri" w:hAnsi="Calibri" w:cs="Calibri"/>
                <w:color w:val="000000"/>
                <w:sz w:val="22"/>
                <w:szCs w:val="22"/>
              </w:rPr>
              <w:t xml:space="preserve"> | Cutoff, S</w:t>
            </w:r>
          </w:p>
          <w:p w14:paraId="000001C4" w14:textId="77777777" w:rsidR="00511004" w:rsidRDefault="005110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000001C5" w14:textId="77777777" w:rsidR="00511004" w:rsidRDefault="005110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11004" w14:paraId="49B1A736" w14:textId="77777777" w:rsidTr="00803C3C">
        <w:trPr>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0001C6" w14:textId="77777777" w:rsidR="00511004" w:rsidRDefault="0051100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65" w:type="dxa"/>
          </w:tcPr>
          <w:p w14:paraId="000001C7"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PVC</w:t>
            </w:r>
          </w:p>
        </w:tc>
        <w:tc>
          <w:tcPr>
            <w:tcW w:w="1281" w:type="dxa"/>
          </w:tcPr>
          <w:p w14:paraId="000001C8"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0.825</w:t>
            </w:r>
          </w:p>
        </w:tc>
        <w:tc>
          <w:tcPr>
            <w:tcW w:w="3653" w:type="dxa"/>
          </w:tcPr>
          <w:p w14:paraId="000001C9"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market for polyvinylchloride, bulk </w:t>
            </w:r>
            <w:proofErr w:type="spellStart"/>
            <w:r>
              <w:rPr>
                <w:rFonts w:ascii="Calibri" w:eastAsia="Calibri" w:hAnsi="Calibri" w:cs="Calibri"/>
                <w:color w:val="000000"/>
                <w:sz w:val="22"/>
                <w:szCs w:val="22"/>
              </w:rPr>
              <w:t>polymerised</w:t>
            </w:r>
            <w:proofErr w:type="spellEnd"/>
            <w:r>
              <w:rPr>
                <w:rFonts w:ascii="Calibri" w:eastAsia="Calibri" w:hAnsi="Calibri" w:cs="Calibri"/>
                <w:color w:val="000000"/>
                <w:sz w:val="22"/>
                <w:szCs w:val="22"/>
              </w:rPr>
              <w:t xml:space="preserve"> | polyvinylchloride, bulk </w:t>
            </w:r>
            <w:proofErr w:type="spellStart"/>
            <w:r>
              <w:rPr>
                <w:rFonts w:ascii="Calibri" w:eastAsia="Calibri" w:hAnsi="Calibri" w:cs="Calibri"/>
                <w:color w:val="000000"/>
                <w:sz w:val="22"/>
                <w:szCs w:val="22"/>
              </w:rPr>
              <w:t>polymerised</w:t>
            </w:r>
            <w:proofErr w:type="spellEnd"/>
            <w:r>
              <w:rPr>
                <w:rFonts w:ascii="Calibri" w:eastAsia="Calibri" w:hAnsi="Calibri" w:cs="Calibri"/>
                <w:color w:val="000000"/>
                <w:sz w:val="22"/>
                <w:szCs w:val="22"/>
              </w:rPr>
              <w:t xml:space="preserve"> | Cutoff, S</w:t>
            </w:r>
          </w:p>
          <w:p w14:paraId="000001CA" w14:textId="77777777" w:rsidR="00511004" w:rsidRDefault="005110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11004" w14:paraId="3F689BEF" w14:textId="77777777" w:rsidTr="00803C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0001CB" w14:textId="77777777" w:rsidR="00511004" w:rsidRDefault="0051100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65" w:type="dxa"/>
          </w:tcPr>
          <w:p w14:paraId="000001CC"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Ceramic</w:t>
            </w:r>
          </w:p>
        </w:tc>
        <w:tc>
          <w:tcPr>
            <w:tcW w:w="1281" w:type="dxa"/>
          </w:tcPr>
          <w:p w14:paraId="000001CD"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0.11</w:t>
            </w:r>
          </w:p>
        </w:tc>
        <w:tc>
          <w:tcPr>
            <w:tcW w:w="3653" w:type="dxa"/>
          </w:tcPr>
          <w:p w14:paraId="000001CE"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market for sanitary ceramics | sanitary ceramics | Cutoff, S</w:t>
            </w:r>
          </w:p>
        </w:tc>
      </w:tr>
      <w:tr w:rsidR="00511004" w14:paraId="2B32E715" w14:textId="77777777" w:rsidTr="00803C3C">
        <w:trPr>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0001CF" w14:textId="77777777" w:rsidR="00511004" w:rsidRDefault="0051100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65" w:type="dxa"/>
          </w:tcPr>
          <w:p w14:paraId="000001D0"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Steel</w:t>
            </w:r>
          </w:p>
        </w:tc>
        <w:tc>
          <w:tcPr>
            <w:tcW w:w="1281" w:type="dxa"/>
          </w:tcPr>
          <w:p w14:paraId="000001D1"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0.15</w:t>
            </w:r>
          </w:p>
        </w:tc>
        <w:tc>
          <w:tcPr>
            <w:tcW w:w="3653" w:type="dxa"/>
          </w:tcPr>
          <w:p w14:paraId="000001D2"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market for steel, chromium steel 18/8 | steel, chromium steel 18/8 | Cutoff, S</w:t>
            </w:r>
          </w:p>
          <w:p w14:paraId="000001D3" w14:textId="77777777" w:rsidR="00511004" w:rsidRDefault="005110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11004" w14:paraId="5AD7E080" w14:textId="77777777" w:rsidTr="00803C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0001D4" w14:textId="77777777" w:rsidR="00511004" w:rsidRDefault="0051100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65" w:type="dxa"/>
          </w:tcPr>
          <w:p w14:paraId="000001D5"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Electronics</w:t>
            </w:r>
          </w:p>
        </w:tc>
        <w:tc>
          <w:tcPr>
            <w:tcW w:w="1281" w:type="dxa"/>
          </w:tcPr>
          <w:p w14:paraId="000001D6"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9.55</w:t>
            </w:r>
          </w:p>
        </w:tc>
        <w:tc>
          <w:tcPr>
            <w:tcW w:w="3653" w:type="dxa"/>
          </w:tcPr>
          <w:p w14:paraId="000001D7"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market for capacitor, electrolyte type, &gt; 2cm height | capacitor, electrolyte type, &gt; 2cm height | Cutoff, S</w:t>
            </w:r>
          </w:p>
          <w:p w14:paraId="000001D8" w14:textId="77777777" w:rsidR="00511004" w:rsidRDefault="005110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11004" w14:paraId="26CC8078" w14:textId="77777777" w:rsidTr="00803C3C">
        <w:trPr>
          <w:trHeight w:val="261"/>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000001D9" w14:textId="77777777" w:rsidR="00511004" w:rsidRDefault="00C93E4B">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LED Light Fixture</w:t>
            </w:r>
          </w:p>
        </w:tc>
        <w:tc>
          <w:tcPr>
            <w:tcW w:w="1865" w:type="dxa"/>
          </w:tcPr>
          <w:p w14:paraId="000001DA"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Aluminum</w:t>
            </w:r>
          </w:p>
        </w:tc>
        <w:tc>
          <w:tcPr>
            <w:tcW w:w="1281" w:type="dxa"/>
          </w:tcPr>
          <w:p w14:paraId="000001DB" w14:textId="2965EE5A"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9</w:t>
            </w:r>
            <w:r w:rsidR="00204B67">
              <w:rPr>
                <w:rFonts w:ascii="Calibri" w:eastAsia="Calibri" w:hAnsi="Calibri" w:cs="Calibri"/>
                <w:color w:val="000000"/>
                <w:sz w:val="22"/>
                <w:szCs w:val="22"/>
              </w:rPr>
              <w:t>.</w:t>
            </w:r>
            <w:r>
              <w:rPr>
                <w:rFonts w:ascii="Calibri" w:eastAsia="Calibri" w:hAnsi="Calibri" w:cs="Calibri"/>
                <w:color w:val="000000"/>
                <w:sz w:val="22"/>
                <w:szCs w:val="22"/>
              </w:rPr>
              <w:t>3</w:t>
            </w:r>
          </w:p>
        </w:tc>
        <w:tc>
          <w:tcPr>
            <w:tcW w:w="3653" w:type="dxa"/>
          </w:tcPr>
          <w:p w14:paraId="000001DC"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section bar extrusion, </w:t>
            </w:r>
            <w:proofErr w:type="spellStart"/>
            <w:r>
              <w:rPr>
                <w:rFonts w:ascii="Calibri" w:eastAsia="Calibri" w:hAnsi="Calibri" w:cs="Calibri"/>
                <w:color w:val="000000"/>
                <w:sz w:val="22"/>
                <w:szCs w:val="22"/>
              </w:rPr>
              <w:t>aluminium</w:t>
            </w:r>
            <w:proofErr w:type="spellEnd"/>
            <w:r>
              <w:rPr>
                <w:rFonts w:ascii="Calibri" w:eastAsia="Calibri" w:hAnsi="Calibri" w:cs="Calibri"/>
                <w:color w:val="000000"/>
                <w:sz w:val="22"/>
                <w:szCs w:val="22"/>
              </w:rPr>
              <w:t xml:space="preserve"> | | Cutoff, S </w:t>
            </w:r>
          </w:p>
        </w:tc>
      </w:tr>
      <w:tr w:rsidR="00511004" w14:paraId="0E6939A3" w14:textId="77777777" w:rsidTr="00803C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0001DD" w14:textId="77777777" w:rsidR="00511004" w:rsidRDefault="0051100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65" w:type="dxa"/>
          </w:tcPr>
          <w:p w14:paraId="000001DE"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Copper</w:t>
            </w:r>
          </w:p>
        </w:tc>
        <w:tc>
          <w:tcPr>
            <w:tcW w:w="1281" w:type="dxa"/>
          </w:tcPr>
          <w:p w14:paraId="000001DF"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0.042</w:t>
            </w:r>
          </w:p>
        </w:tc>
        <w:tc>
          <w:tcPr>
            <w:tcW w:w="3653" w:type="dxa"/>
          </w:tcPr>
          <w:p w14:paraId="000001E0"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market for copper | copper | Cutoff, S</w:t>
            </w:r>
          </w:p>
          <w:p w14:paraId="000001E1" w14:textId="77777777" w:rsidR="00511004" w:rsidRDefault="005110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11004" w14:paraId="75D4E4F9" w14:textId="77777777" w:rsidTr="00803C3C">
        <w:trPr>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0001E2" w14:textId="77777777" w:rsidR="00511004" w:rsidRDefault="0051100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65" w:type="dxa"/>
          </w:tcPr>
          <w:p w14:paraId="000001E3"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PE</w:t>
            </w:r>
          </w:p>
        </w:tc>
        <w:tc>
          <w:tcPr>
            <w:tcW w:w="1281" w:type="dxa"/>
          </w:tcPr>
          <w:p w14:paraId="000001E4"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0.127</w:t>
            </w:r>
          </w:p>
        </w:tc>
        <w:tc>
          <w:tcPr>
            <w:tcW w:w="3653" w:type="dxa"/>
          </w:tcPr>
          <w:p w14:paraId="000001E5" w14:textId="77777777" w:rsidR="00511004"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market for polyethylene, high density, granulate | polyethylene, high density, granulate | Cutoff, S</w:t>
            </w:r>
          </w:p>
          <w:p w14:paraId="000001E6" w14:textId="77777777" w:rsidR="00511004" w:rsidRDefault="005110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11004" w14:paraId="03611E98" w14:textId="77777777" w:rsidTr="00803C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60" w:type="dxa"/>
            <w:vMerge/>
          </w:tcPr>
          <w:p w14:paraId="000001E7" w14:textId="77777777" w:rsidR="00511004" w:rsidRDefault="00511004">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865" w:type="dxa"/>
          </w:tcPr>
          <w:p w14:paraId="000001E8"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Electronic</w:t>
            </w:r>
          </w:p>
        </w:tc>
        <w:tc>
          <w:tcPr>
            <w:tcW w:w="1281" w:type="dxa"/>
          </w:tcPr>
          <w:p w14:paraId="000001E9"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0.1</w:t>
            </w:r>
          </w:p>
        </w:tc>
        <w:tc>
          <w:tcPr>
            <w:tcW w:w="3653" w:type="dxa"/>
          </w:tcPr>
          <w:p w14:paraId="000001EA" w14:textId="77777777" w:rsidR="00511004" w:rsidRDefault="00C93E4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market for electronic component, passive, unspecified | electronic component, passive, unspecified | Cutoff, S</w:t>
            </w:r>
          </w:p>
          <w:p w14:paraId="000001EB" w14:textId="77777777" w:rsidR="00511004" w:rsidRDefault="005110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000001EC" w14:textId="77777777" w:rsidR="00511004" w:rsidRDefault="00511004">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11004" w:rsidRPr="00874F7B" w14:paraId="3FDF63B1" w14:textId="77777777" w:rsidTr="00803C3C">
        <w:trPr>
          <w:trHeight w:val="261"/>
        </w:trPr>
        <w:tc>
          <w:tcPr>
            <w:cnfStyle w:val="001000000000" w:firstRow="0" w:lastRow="0" w:firstColumn="1" w:lastColumn="0" w:oddVBand="0" w:evenVBand="0" w:oddHBand="0" w:evenHBand="0" w:firstRowFirstColumn="0" w:firstRowLastColumn="0" w:lastRowFirstColumn="0" w:lastRowLastColumn="0"/>
            <w:tcW w:w="1560" w:type="dxa"/>
          </w:tcPr>
          <w:p w14:paraId="000001ED" w14:textId="77777777" w:rsidR="00511004" w:rsidRDefault="00511004">
            <w:pPr>
              <w:spacing w:line="240" w:lineRule="auto"/>
              <w:jc w:val="center"/>
              <w:rPr>
                <w:rFonts w:ascii="Calibri" w:eastAsia="Calibri" w:hAnsi="Calibri" w:cs="Calibri"/>
                <w:color w:val="000000"/>
                <w:sz w:val="22"/>
                <w:szCs w:val="22"/>
              </w:rPr>
            </w:pPr>
          </w:p>
        </w:tc>
        <w:tc>
          <w:tcPr>
            <w:tcW w:w="1865" w:type="dxa"/>
          </w:tcPr>
          <w:p w14:paraId="000001EE" w14:textId="77777777" w:rsidR="00511004" w:rsidRPr="00874F7B"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sidRPr="00874F7B">
              <w:rPr>
                <w:rFonts w:ascii="Calibri" w:eastAsia="Calibri" w:hAnsi="Calibri" w:cs="Calibri"/>
                <w:color w:val="000000"/>
                <w:sz w:val="22"/>
                <w:szCs w:val="22"/>
              </w:rPr>
              <w:t>Light Emitting Diodes</w:t>
            </w:r>
          </w:p>
        </w:tc>
        <w:tc>
          <w:tcPr>
            <w:tcW w:w="1281" w:type="dxa"/>
          </w:tcPr>
          <w:p w14:paraId="000001EF" w14:textId="5D3BF893" w:rsidR="00511004" w:rsidRPr="00874F7B" w:rsidRDefault="00874F7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sidRPr="00874F7B">
              <w:rPr>
                <w:rFonts w:ascii="Calibri" w:eastAsia="Calibri" w:hAnsi="Calibri" w:cs="Calibri"/>
                <w:color w:val="000000"/>
                <w:sz w:val="22"/>
                <w:szCs w:val="22"/>
              </w:rPr>
              <w:t>0.025</w:t>
            </w:r>
          </w:p>
        </w:tc>
        <w:tc>
          <w:tcPr>
            <w:tcW w:w="3653" w:type="dxa"/>
          </w:tcPr>
          <w:p w14:paraId="000001F0" w14:textId="77777777" w:rsidR="00511004" w:rsidRPr="00874F7B" w:rsidRDefault="00C93E4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sidRPr="00874F7B">
              <w:rPr>
                <w:rFonts w:ascii="Calibri" w:eastAsia="Calibri" w:hAnsi="Calibri" w:cs="Calibri"/>
                <w:color w:val="000000"/>
                <w:sz w:val="22"/>
                <w:szCs w:val="22"/>
              </w:rPr>
              <w:t>market for light emitting diode | light emitting diode | Cutoff, S</w:t>
            </w:r>
          </w:p>
          <w:p w14:paraId="000001F1" w14:textId="77777777" w:rsidR="00511004" w:rsidRPr="00874F7B" w:rsidRDefault="005110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14:paraId="000001F2" w14:textId="22D5894C" w:rsidR="00511004" w:rsidRDefault="00511004"/>
    <w:p w14:paraId="7500E094" w14:textId="3DB481E8" w:rsidR="00031F47" w:rsidRDefault="00031F47"/>
    <w:p w14:paraId="50E869BC" w14:textId="77777777" w:rsidR="00031F47" w:rsidRDefault="00031F47"/>
    <w:p w14:paraId="000001F3" w14:textId="77777777" w:rsidR="00511004" w:rsidRDefault="00C93E4B" w:rsidP="004F245A">
      <w:pPr>
        <w:pStyle w:val="Heading2"/>
      </w:pPr>
      <w:r>
        <w:lastRenderedPageBreak/>
        <w:t>Lighting and Heating Demand</w:t>
      </w:r>
    </w:p>
    <w:p w14:paraId="000001F5" w14:textId="77777777" w:rsidR="00511004" w:rsidRDefault="00C93E4B">
      <w:r>
        <w:t xml:space="preserve">The energy consumption for the scenarios was based on the baseline scenario and </w:t>
      </w:r>
      <w:r w:rsidRPr="00204B67">
        <w:t xml:space="preserve">calculations for energy consumption of transitioning to LEDs from HPS lighting from </w:t>
      </w:r>
      <w:proofErr w:type="spellStart"/>
      <w:r w:rsidRPr="00204B67">
        <w:t>Katzin</w:t>
      </w:r>
      <w:proofErr w:type="spellEnd"/>
      <w:r w:rsidRPr="00204B67">
        <w:t xml:space="preserve"> et al. (2021). The energy consumption from the LEDs was based on similar photosynthetic photon flux</w:t>
      </w:r>
      <w:r>
        <w:t xml:space="preserve"> density (PPFD) of 175 µ-mol/m</w:t>
      </w:r>
      <w:r>
        <w:rPr>
          <w:vertAlign w:val="superscript"/>
        </w:rPr>
        <w:t>2</w:t>
      </w:r>
      <w:r>
        <w:t xml:space="preserve">. For the study, we employed the following equations to study the implications of a transition from HPS to LEDs. </w:t>
      </w:r>
    </w:p>
    <w:p w14:paraId="000001F6" w14:textId="77777777" w:rsidR="00511004" w:rsidRDefault="00511004"/>
    <w:tbl>
      <w:tblPr>
        <w:tblStyle w:val="2"/>
        <w:tblW w:w="10343" w:type="dxa"/>
        <w:tblBorders>
          <w:top w:val="nil"/>
          <w:left w:val="nil"/>
          <w:bottom w:val="nil"/>
          <w:right w:val="nil"/>
          <w:insideH w:val="nil"/>
          <w:insideV w:val="nil"/>
        </w:tblBorders>
        <w:tblLayout w:type="fixed"/>
        <w:tblLook w:val="0400" w:firstRow="0" w:lastRow="0" w:firstColumn="0" w:lastColumn="0" w:noHBand="0" w:noVBand="1"/>
      </w:tblPr>
      <w:tblGrid>
        <w:gridCol w:w="9305"/>
        <w:gridCol w:w="1038"/>
      </w:tblGrid>
      <w:tr w:rsidR="00511004" w14:paraId="3D868F29" w14:textId="77777777">
        <w:trPr>
          <w:trHeight w:val="577"/>
        </w:trPr>
        <w:tc>
          <w:tcPr>
            <w:tcW w:w="9305" w:type="dxa"/>
            <w:tcBorders>
              <w:top w:val="nil"/>
              <w:left w:val="nil"/>
              <w:bottom w:val="nil"/>
              <w:right w:val="nil"/>
            </w:tcBorders>
            <w:vAlign w:val="center"/>
          </w:tcPr>
          <w:bookmarkStart w:id="0" w:name="_heading=h.gjdgxs" w:colFirst="0" w:colLast="0"/>
          <w:bookmarkEnd w:id="0"/>
          <w:p w14:paraId="000001F7" w14:textId="77777777" w:rsidR="00511004" w:rsidRDefault="00000000">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E</m:t>
                    </m:r>
                  </m:e>
                  <m:sup>
                    <m:r>
                      <w:rPr>
                        <w:rFonts w:ascii="Cambria Math" w:eastAsia="Cambria Math" w:hAnsi="Cambria Math" w:cs="Cambria Math"/>
                      </w:rPr>
                      <m:t>HPS</m:t>
                    </m:r>
                  </m:sup>
                </m:sSup>
                <m:r>
                  <w:rPr>
                    <w:rFonts w:ascii="Cambria Math" w:eastAsia="Cambria Math" w:hAnsi="Cambria Math" w:cs="Cambria Math"/>
                  </w:rPr>
                  <m:t xml:space="preserve">= </m:t>
                </m:r>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Light</m:t>
                    </m:r>
                  </m:sub>
                  <m:sup>
                    <m:r>
                      <w:rPr>
                        <w:rFonts w:ascii="Cambria Math" w:eastAsia="Cambria Math" w:hAnsi="Cambria Math" w:cs="Cambria Math"/>
                      </w:rPr>
                      <m:t>HPS</m:t>
                    </m:r>
                  </m:sup>
                </m:sSubSup>
                <m:r>
                  <w:rPr>
                    <w:rFonts w:ascii="Cambria Math" w:eastAsia="Cambria Math" w:hAnsi="Cambria Math" w:cs="Cambria Math"/>
                  </w:rPr>
                  <m:t>+</m:t>
                </m:r>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Heat</m:t>
                    </m:r>
                  </m:sub>
                  <m:sup>
                    <m:r>
                      <w:rPr>
                        <w:rFonts w:ascii="Cambria Math" w:eastAsia="Cambria Math" w:hAnsi="Cambria Math" w:cs="Cambria Math"/>
                      </w:rPr>
                      <m:t>HPS</m:t>
                    </m:r>
                  </m:sup>
                </m:sSubSup>
              </m:oMath>
            </m:oMathPara>
          </w:p>
        </w:tc>
        <w:tc>
          <w:tcPr>
            <w:tcW w:w="1038" w:type="dxa"/>
            <w:tcBorders>
              <w:top w:val="nil"/>
              <w:left w:val="nil"/>
              <w:bottom w:val="nil"/>
              <w:right w:val="nil"/>
            </w:tcBorders>
            <w:vAlign w:val="center"/>
          </w:tcPr>
          <w:p w14:paraId="000001F8" w14:textId="77777777" w:rsidR="00511004" w:rsidRDefault="00C93E4B">
            <w:pPr>
              <w:keepNext/>
              <w:pBdr>
                <w:top w:val="nil"/>
                <w:left w:val="nil"/>
                <w:bottom w:val="nil"/>
                <w:right w:val="nil"/>
                <w:between w:val="nil"/>
              </w:pBdr>
              <w:spacing w:after="200"/>
              <w:rPr>
                <w:i/>
                <w:color w:val="44546A"/>
              </w:rPr>
            </w:pPr>
            <w:r>
              <w:rPr>
                <w:i/>
                <w:color w:val="44546A"/>
              </w:rPr>
              <w:t>(1)</w:t>
            </w:r>
          </w:p>
        </w:tc>
      </w:tr>
    </w:tbl>
    <w:p w14:paraId="000001F9" w14:textId="77777777" w:rsidR="00511004" w:rsidRDefault="00C93E4B">
      <w:r>
        <w:t xml:space="preserve">In Equation 1, </w:t>
      </w:r>
      <m:oMath>
        <m:sSup>
          <m:sSupPr>
            <m:ctrlPr>
              <w:rPr>
                <w:rFonts w:ascii="Cambria Math" w:eastAsia="Cambria Math" w:hAnsi="Cambria Math" w:cs="Cambria Math"/>
              </w:rPr>
            </m:ctrlPr>
          </m:sSupPr>
          <m:e>
            <m:r>
              <w:rPr>
                <w:rFonts w:ascii="Cambria Math" w:eastAsia="Cambria Math" w:hAnsi="Cambria Math" w:cs="Cambria Math"/>
              </w:rPr>
              <m:t>E</m:t>
            </m:r>
          </m:e>
          <m:sup>
            <m:r>
              <w:rPr>
                <w:rFonts w:ascii="Cambria Math" w:eastAsia="Cambria Math" w:hAnsi="Cambria Math" w:cs="Cambria Math"/>
              </w:rPr>
              <m:t>HPS</m:t>
            </m:r>
          </m:sup>
        </m:sSup>
      </m:oMath>
      <w:r>
        <w:t xml:space="preserve"> denotes the total energy for the greenhouse, for lighting and heating. This includes </w:t>
      </w:r>
      <m:oMath>
        <m:r>
          <w:rPr>
            <w:rFonts w:ascii="Cambria Math" w:eastAsia="Cambria Math" w:hAnsi="Cambria Math" w:cs="Cambria Math"/>
          </w:rPr>
          <m:t xml:space="preserve"> </m:t>
        </m:r>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Light</m:t>
            </m:r>
          </m:sub>
          <m:sup>
            <m:r>
              <w:rPr>
                <w:rFonts w:ascii="Cambria Math" w:eastAsia="Cambria Math" w:hAnsi="Cambria Math" w:cs="Cambria Math"/>
              </w:rPr>
              <m:t>HPS</m:t>
            </m:r>
          </m:sup>
        </m:sSubSup>
        <m:r>
          <w:rPr>
            <w:rFonts w:ascii="Cambria Math" w:eastAsia="Cambria Math" w:hAnsi="Cambria Math" w:cs="Cambria Math"/>
          </w:rPr>
          <m:t xml:space="preserve"> the energy for lighting the greenhouse , in addition to </m:t>
        </m:r>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Heat</m:t>
            </m:r>
          </m:sub>
          <m:sup>
            <m:r>
              <w:rPr>
                <w:rFonts w:ascii="Cambria Math" w:eastAsia="Cambria Math" w:hAnsi="Cambria Math" w:cs="Cambria Math"/>
              </w:rPr>
              <m:t>HPS</m:t>
            </m:r>
          </m:sup>
        </m:sSubSup>
        <m:r>
          <w:rPr>
            <w:rFonts w:ascii="Cambria Math" w:eastAsia="Cambria Math" w:hAnsi="Cambria Math" w:cs="Cambria Math"/>
          </w:rPr>
          <m:t xml:space="preserve"> </m:t>
        </m:r>
      </m:oMath>
      <w:r>
        <w:t xml:space="preserve">is the energy use for heating the greenhouse with HPS lighting (which is the amount of heat from the pellet burner). </w:t>
      </w:r>
    </w:p>
    <w:p w14:paraId="000001FA" w14:textId="77777777" w:rsidR="00511004" w:rsidRDefault="00511004">
      <w:pPr>
        <w:jc w:val="center"/>
      </w:pPr>
    </w:p>
    <w:tbl>
      <w:tblPr>
        <w:tblStyle w:val="1"/>
        <w:tblW w:w="10343" w:type="dxa"/>
        <w:tblBorders>
          <w:top w:val="nil"/>
          <w:left w:val="nil"/>
          <w:bottom w:val="nil"/>
          <w:right w:val="nil"/>
          <w:insideH w:val="nil"/>
          <w:insideV w:val="nil"/>
        </w:tblBorders>
        <w:tblLayout w:type="fixed"/>
        <w:tblLook w:val="0400" w:firstRow="0" w:lastRow="0" w:firstColumn="0" w:lastColumn="0" w:noHBand="0" w:noVBand="1"/>
      </w:tblPr>
      <w:tblGrid>
        <w:gridCol w:w="9305"/>
        <w:gridCol w:w="1038"/>
      </w:tblGrid>
      <w:tr w:rsidR="00511004" w14:paraId="6B6633B0" w14:textId="77777777">
        <w:trPr>
          <w:trHeight w:val="577"/>
        </w:trPr>
        <w:tc>
          <w:tcPr>
            <w:tcW w:w="9305" w:type="dxa"/>
            <w:tcBorders>
              <w:top w:val="nil"/>
              <w:left w:val="nil"/>
              <w:bottom w:val="nil"/>
              <w:right w:val="nil"/>
            </w:tcBorders>
            <w:vAlign w:val="center"/>
          </w:tcPr>
          <w:p w14:paraId="000001FB" w14:textId="77777777" w:rsidR="00511004" w:rsidRDefault="00000000">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E</m:t>
                    </m:r>
                  </m:e>
                  <m:sup>
                    <m:r>
                      <w:rPr>
                        <w:rFonts w:ascii="Cambria Math" w:eastAsia="Cambria Math" w:hAnsi="Cambria Math" w:cs="Cambria Math"/>
                      </w:rPr>
                      <m:t>LED</m:t>
                    </m:r>
                  </m:sup>
                </m:sSup>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∈HPS</m:t>
                    </m:r>
                  </m:num>
                  <m:den>
                    <m:r>
                      <w:rPr>
                        <w:rFonts w:ascii="Cambria Math" w:eastAsia="Cambria Math" w:hAnsi="Cambria Math" w:cs="Cambria Math"/>
                      </w:rPr>
                      <m:t>∈LED</m:t>
                    </m:r>
                  </m:den>
                </m:f>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Light</m:t>
                    </m:r>
                  </m:sub>
                  <m:sup>
                    <m:r>
                      <w:rPr>
                        <w:rFonts w:ascii="Cambria Math" w:eastAsia="Cambria Math" w:hAnsi="Cambria Math" w:cs="Cambria Math"/>
                      </w:rPr>
                      <m:t>HPS</m:t>
                    </m:r>
                  </m:sup>
                </m:sSubSup>
                <m:r>
                  <w:rPr>
                    <w:rFonts w:ascii="Cambria Math" w:eastAsia="Cambria Math" w:hAnsi="Cambria Math" w:cs="Cambria Math"/>
                  </w:rPr>
                  <m:t>+</m:t>
                </m:r>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Heat</m:t>
                    </m:r>
                  </m:sub>
                  <m:sup>
                    <m:r>
                      <w:rPr>
                        <w:rFonts w:ascii="Cambria Math" w:eastAsia="Cambria Math" w:hAnsi="Cambria Math" w:cs="Cambria Math"/>
                      </w:rPr>
                      <m:t>LED</m:t>
                    </m:r>
                  </m:sup>
                </m:sSubSup>
              </m:oMath>
            </m:oMathPara>
          </w:p>
          <w:p w14:paraId="000001FC" w14:textId="77777777" w:rsidR="00511004" w:rsidRDefault="00511004">
            <w:pPr>
              <w:jc w:val="center"/>
            </w:pPr>
          </w:p>
        </w:tc>
        <w:tc>
          <w:tcPr>
            <w:tcW w:w="1038" w:type="dxa"/>
            <w:tcBorders>
              <w:top w:val="nil"/>
              <w:left w:val="nil"/>
              <w:bottom w:val="nil"/>
              <w:right w:val="nil"/>
            </w:tcBorders>
            <w:vAlign w:val="center"/>
          </w:tcPr>
          <w:p w14:paraId="000001FD" w14:textId="77777777" w:rsidR="00511004" w:rsidRDefault="00C93E4B">
            <w:pPr>
              <w:keepNext/>
              <w:pBdr>
                <w:top w:val="nil"/>
                <w:left w:val="nil"/>
                <w:bottom w:val="nil"/>
                <w:right w:val="nil"/>
                <w:between w:val="nil"/>
              </w:pBdr>
              <w:spacing w:after="200"/>
              <w:rPr>
                <w:i/>
                <w:color w:val="44546A"/>
              </w:rPr>
            </w:pPr>
            <w:r>
              <w:rPr>
                <w:i/>
                <w:color w:val="44546A"/>
              </w:rPr>
              <w:t>(2)</w:t>
            </w:r>
          </w:p>
        </w:tc>
      </w:tr>
    </w:tbl>
    <w:p w14:paraId="000001FE" w14:textId="02877757" w:rsidR="00511004" w:rsidRDefault="00C93E4B">
      <w:pPr>
        <w:rPr>
          <w:shd w:val="clear" w:color="auto" w:fill="96BA61"/>
        </w:rPr>
      </w:pPr>
      <w:r>
        <w:t xml:space="preserve">In Equation 2, the energy for heating and lighting the greenhouse with LEDs is </w:t>
      </w:r>
      <m:oMath>
        <m:sSup>
          <m:sSupPr>
            <m:ctrlPr>
              <w:rPr>
                <w:rFonts w:ascii="Cambria Math" w:eastAsia="Cambria Math" w:hAnsi="Cambria Math" w:cs="Cambria Math"/>
              </w:rPr>
            </m:ctrlPr>
          </m:sSupPr>
          <m:e>
            <m:r>
              <w:rPr>
                <w:rFonts w:ascii="Cambria Math" w:eastAsia="Cambria Math" w:hAnsi="Cambria Math" w:cs="Cambria Math"/>
              </w:rPr>
              <m:t>E</m:t>
            </m:r>
          </m:e>
          <m:sup>
            <m:r>
              <w:rPr>
                <w:rFonts w:ascii="Cambria Math" w:eastAsia="Cambria Math" w:hAnsi="Cambria Math" w:cs="Cambria Math"/>
              </w:rPr>
              <m:t>LED</m:t>
            </m:r>
          </m:sup>
        </m:sSup>
        <m:r>
          <w:rPr>
            <w:rFonts w:ascii="Cambria Math" w:eastAsia="Cambria Math" w:hAnsi="Cambria Math" w:cs="Cambria Math"/>
          </w:rPr>
          <m:t>.</m:t>
        </m:r>
      </m:oMath>
      <w:r>
        <w:t xml:space="preserve"> Here, </w:t>
      </w:r>
      <m:oMath>
        <m:sSubSup>
          <m:sSubSupPr>
            <m:ctrlPr>
              <w:rPr>
                <w:rFonts w:ascii="Cambria Math" w:eastAsia="Cambria Math" w:hAnsi="Cambria Math" w:cs="Cambria Math"/>
              </w:rPr>
            </m:ctrlPr>
          </m:sSubSupPr>
          <m:e>
            <m:r>
              <w:rPr>
                <w:rFonts w:ascii="Cambria Math" w:eastAsia="Cambria Math" w:hAnsi="Cambria Math" w:cs="Cambria Math"/>
              </w:rPr>
              <m:t>Q</m:t>
            </m:r>
          </m:e>
          <m:sub>
            <m:r>
              <w:rPr>
                <w:rFonts w:ascii="Cambria Math" w:eastAsia="Cambria Math" w:hAnsi="Cambria Math" w:cs="Cambria Math"/>
              </w:rPr>
              <m:t>Heat</m:t>
            </m:r>
          </m:sub>
          <m:sup>
            <m:r>
              <w:rPr>
                <w:rFonts w:ascii="Cambria Math" w:eastAsia="Cambria Math" w:hAnsi="Cambria Math" w:cs="Cambria Math"/>
              </w:rPr>
              <m:t>LED</m:t>
            </m:r>
          </m:sup>
        </m:sSubSup>
      </m:oMath>
      <w:r>
        <w:t xml:space="preserve"> is the amount of heat required for the greenhouse with LED lights (which again is increased due to less heat output from the LED lighting). For this study, we assumed an average increase in heat demand to be roughly 25% higher throughout the year based on information provided by </w:t>
      </w:r>
      <w:r w:rsidR="008634B2">
        <w:t xml:space="preserve">the case study greenhouse </w:t>
      </w:r>
      <w:proofErr w:type="gramStart"/>
      <w:r>
        <w:t>and also</w:t>
      </w:r>
      <w:proofErr w:type="gramEnd"/>
      <w:r>
        <w:t xml:space="preserve"> in </w:t>
      </w:r>
      <w:proofErr w:type="spellStart"/>
      <w:r>
        <w:t>Katzin</w:t>
      </w:r>
      <w:proofErr w:type="spellEnd"/>
      <w:r>
        <w:t xml:space="preserve"> et al. (2021).</w:t>
      </w:r>
      <w:r w:rsidR="0007606D">
        <w:t xml:space="preserve"> </w:t>
      </w:r>
      <w:r w:rsidR="0007606D" w:rsidRPr="0007606D">
        <w:t xml:space="preserve">This is reflected in the scenario for LEDs by increased heat from the pellet burner. In this study, the variables </w:t>
      </w:r>
      <w:r w:rsidR="0007606D" w:rsidRPr="0007606D">
        <w:rPr>
          <w:rFonts w:ascii="Cambria Math" w:hAnsi="Cambria Math" w:cs="Cambria Math"/>
        </w:rPr>
        <w:t>∈</w:t>
      </w:r>
      <w:r w:rsidR="0007606D" w:rsidRPr="0007606D">
        <w:t xml:space="preserve">HPS and </w:t>
      </w:r>
      <w:r w:rsidR="0007606D" w:rsidRPr="0007606D">
        <w:rPr>
          <w:rFonts w:ascii="Cambria Math" w:hAnsi="Cambria Math" w:cs="Cambria Math"/>
        </w:rPr>
        <w:t>∈</w:t>
      </w:r>
      <w:r w:rsidR="0007606D" w:rsidRPr="0007606D">
        <w:t xml:space="preserve">LED are assumed to be 1.8 and 3.5 µ-mol/J for the different lighting systems respectively. The </w:t>
      </w:r>
      <w:r w:rsidR="0007606D" w:rsidRPr="0007606D">
        <w:rPr>
          <w:rFonts w:ascii="Cambria Math" w:hAnsi="Cambria Math" w:cs="Cambria Math"/>
        </w:rPr>
        <w:t>∈</w:t>
      </w:r>
      <w:proofErr w:type="gramStart"/>
      <w:r w:rsidR="0007606D" w:rsidRPr="0007606D">
        <w:t>LED  has</w:t>
      </w:r>
      <w:proofErr w:type="gramEnd"/>
      <w:r w:rsidR="0007606D" w:rsidRPr="0007606D">
        <w:t xml:space="preserve"> been set to 3.5 according to Kusuma et al. (2020) that reported, for the current LED  performances of a lamp with red and blue fixtures a maximum </w:t>
      </w:r>
      <w:r w:rsidR="0007606D" w:rsidRPr="0007606D">
        <w:rPr>
          <w:rFonts w:ascii="Cambria Math" w:hAnsi="Cambria Math" w:cs="Cambria Math"/>
        </w:rPr>
        <w:t>∈</w:t>
      </w:r>
      <w:r w:rsidR="0007606D" w:rsidRPr="0007606D">
        <w:t xml:space="preserve"> of 4.1µ-mol/J and 3.4 µ-mol/J for a lamp with white and red fixtures.</w:t>
      </w:r>
    </w:p>
    <w:p w14:paraId="000001FF" w14:textId="77777777" w:rsidR="00511004" w:rsidRDefault="00511004">
      <w:pPr>
        <w:rPr>
          <w:highlight w:val="white"/>
        </w:rPr>
      </w:pPr>
    </w:p>
    <w:p w14:paraId="00000200" w14:textId="77777777" w:rsidR="00511004" w:rsidRDefault="00511004"/>
    <w:p w14:paraId="099F2B2E" w14:textId="3A484978" w:rsidR="004F245A" w:rsidRDefault="004F245A"/>
    <w:p w14:paraId="02375E8F" w14:textId="21333EE3" w:rsidR="004F245A" w:rsidRDefault="004F245A"/>
    <w:p w14:paraId="2F234691" w14:textId="77777777" w:rsidR="004F245A" w:rsidRDefault="004F245A">
      <w:pPr>
        <w:sectPr w:rsidR="004F245A">
          <w:headerReference w:type="even" r:id="rId10"/>
          <w:headerReference w:type="default" r:id="rId11"/>
          <w:footerReference w:type="even" r:id="rId12"/>
          <w:footerReference w:type="default" r:id="rId13"/>
          <w:headerReference w:type="first" r:id="rId14"/>
          <w:footerReference w:type="first" r:id="rId15"/>
          <w:pgSz w:w="11906" w:h="16838"/>
          <w:pgMar w:top="1701" w:right="1559" w:bottom="1559" w:left="1701" w:header="709" w:footer="709" w:gutter="0"/>
          <w:pgNumType w:start="1"/>
          <w:cols w:space="720"/>
        </w:sectPr>
      </w:pPr>
    </w:p>
    <w:p w14:paraId="00000204" w14:textId="77777777" w:rsidR="00511004" w:rsidRDefault="00C93E4B">
      <w:pPr>
        <w:pStyle w:val="Heading1"/>
      </w:pPr>
      <w:r>
        <w:lastRenderedPageBreak/>
        <w:t>Extended LCIA Results</w:t>
      </w:r>
    </w:p>
    <w:p w14:paraId="00000205" w14:textId="43A5FDCD" w:rsidR="00511004" w:rsidRPr="009C739D" w:rsidRDefault="009C739D">
      <w:r w:rsidRPr="009C739D">
        <w:t>Extended det</w:t>
      </w:r>
      <w:r w:rsidR="00C93E4B" w:rsidRPr="009C739D">
        <w:t>ails for the different scenarios</w:t>
      </w:r>
      <w:r w:rsidRPr="009C739D">
        <w:t xml:space="preserve">, including </w:t>
      </w:r>
      <w:r w:rsidR="00C93E4B" w:rsidRPr="009C739D">
        <w:t>all ILCD impact categories</w:t>
      </w:r>
      <w:r w:rsidRPr="009C739D">
        <w:t xml:space="preserve">, are provided in the supplementary excel file. This contains separate tabs to illustrate the different reviewed scenarios and associated environmental impacts, split into different processes.  </w:t>
      </w:r>
      <w:r w:rsidR="00C93E4B" w:rsidRPr="009C739D">
        <w:t xml:space="preserve">For the tables, </w:t>
      </w:r>
      <w:proofErr w:type="gramStart"/>
      <w:r w:rsidR="00C93E4B" w:rsidRPr="009C739D">
        <w:t>in order to</w:t>
      </w:r>
      <w:proofErr w:type="gramEnd"/>
      <w:r w:rsidR="00C93E4B" w:rsidRPr="009C739D">
        <w:t xml:space="preserve"> save space, acronyms are used for the impact category names. These include CC-Global Warming Potential, IR-Ionizing Radiation, RD-Mineral, Fossil &amp; Renewable Resource Depletion, OD-Ozone Depletion, </w:t>
      </w:r>
      <w:proofErr w:type="spellStart"/>
      <w:r w:rsidR="00C93E4B" w:rsidRPr="009C739D">
        <w:t>Meut</w:t>
      </w:r>
      <w:proofErr w:type="spellEnd"/>
      <w:r w:rsidR="00C93E4B" w:rsidRPr="009C739D">
        <w:t xml:space="preserve">-Marine Eutrophication, WRD-Water Resource Depletion, AP-Acidification, POCP-Photochemical Ozone Formation, LU-Land Use, IRH-Ionizing Radiation HH, </w:t>
      </w:r>
      <w:proofErr w:type="spellStart"/>
      <w:r w:rsidR="00C93E4B" w:rsidRPr="009C739D">
        <w:t>Feco</w:t>
      </w:r>
      <w:proofErr w:type="spellEnd"/>
      <w:r w:rsidR="00C93E4B" w:rsidRPr="009C739D">
        <w:t>-Freshwater Ecotoxicity, FE-Freshwater Eutrophication, TE-Terrestrial Eutrophication, HT-C-Human Toxicity, Cancer Effects, PM-Particulate Matter, HT-NC- Human Toxicity, Non-C</w:t>
      </w:r>
      <w:r w:rsidR="004F245A" w:rsidRPr="009C739D">
        <w:t>a</w:t>
      </w:r>
      <w:r w:rsidR="00C93E4B" w:rsidRPr="009C739D">
        <w:t xml:space="preserve">ncer Effects. </w:t>
      </w:r>
    </w:p>
    <w:p w14:paraId="69CE1CF5" w14:textId="77777777" w:rsidR="004D01FF" w:rsidRPr="009C739D" w:rsidRDefault="004D01FF"/>
    <w:p w14:paraId="4C883C43" w14:textId="217CA3BE" w:rsidR="00BB0FFD" w:rsidRDefault="00BB0FFD"/>
    <w:p w14:paraId="12D1ADD5" w14:textId="15265898" w:rsidR="00CB7851" w:rsidRDefault="00CB7851" w:rsidP="00CB7851">
      <w:pPr>
        <w:pStyle w:val="Heading1"/>
      </w:pPr>
      <w:r>
        <w:t>References</w:t>
      </w:r>
    </w:p>
    <w:p w14:paraId="77543B9C" w14:textId="77777777" w:rsidR="00EF2CA9" w:rsidRPr="0023078A" w:rsidRDefault="00EF2CA9" w:rsidP="00EF2CA9"/>
    <w:p w14:paraId="757FB63F" w14:textId="01FD8307" w:rsidR="00EF2CA9" w:rsidRPr="0023078A" w:rsidRDefault="00EF2CA9" w:rsidP="00EF2CA9">
      <w:r w:rsidRPr="00EF2CA9">
        <w:t>Ecoinvent</w:t>
      </w:r>
      <w:r>
        <w:t xml:space="preserve">, </w:t>
      </w:r>
      <w:r w:rsidRPr="00EF2CA9">
        <w:t>2018. Ecoinvent LCI data</w:t>
      </w:r>
      <w:r>
        <w:t>base</w:t>
      </w:r>
      <w:r w:rsidRPr="00EF2CA9">
        <w:t xml:space="preserve"> v. 3.</w:t>
      </w:r>
      <w:r>
        <w:t>8</w:t>
      </w:r>
      <w:r w:rsidRPr="00EF2CA9">
        <w:t>.</w:t>
      </w:r>
    </w:p>
    <w:p w14:paraId="32337A14" w14:textId="1144199B" w:rsidR="005C34D2" w:rsidRPr="00EF5D16" w:rsidRDefault="005C34D2" w:rsidP="005C34D2">
      <w:proofErr w:type="spellStart"/>
      <w:r w:rsidRPr="005C34D2">
        <w:rPr>
          <w:lang w:val="sv-SE"/>
        </w:rPr>
        <w:t>Katzin</w:t>
      </w:r>
      <w:proofErr w:type="spellEnd"/>
      <w:r w:rsidRPr="005C34D2">
        <w:rPr>
          <w:lang w:val="sv-SE"/>
        </w:rPr>
        <w:t xml:space="preserve">, D., Marcelis, L.F.M., van </w:t>
      </w:r>
      <w:proofErr w:type="spellStart"/>
      <w:r w:rsidRPr="005C34D2">
        <w:rPr>
          <w:lang w:val="sv-SE"/>
        </w:rPr>
        <w:t>Mourik</w:t>
      </w:r>
      <w:proofErr w:type="spellEnd"/>
      <w:r w:rsidRPr="005C34D2">
        <w:rPr>
          <w:lang w:val="sv-SE"/>
        </w:rPr>
        <w:t xml:space="preserve">, S., 2021. </w:t>
      </w:r>
      <w:r w:rsidRPr="00EF5D16">
        <w:t>Energy savings in greenhouses by transition from high-pressure sodium to LED lighting. Applied Energy 281, 116019.</w:t>
      </w:r>
    </w:p>
    <w:p w14:paraId="3A6049AC" w14:textId="77777777" w:rsidR="005C34D2" w:rsidRPr="00EF5D16" w:rsidRDefault="005C34D2" w:rsidP="005C34D2">
      <w:r w:rsidRPr="00EF5D16">
        <w:t>Kusuma, P., Pattison, P.M., Bugbee, B., 2020. From physics to fixtures to food: current and potential LED efficacy. Horticulture Research 7.</w:t>
      </w:r>
    </w:p>
    <w:p w14:paraId="05999CCC" w14:textId="19DEEFB2" w:rsidR="00CB7851" w:rsidRDefault="005C34D2" w:rsidP="005C34D2">
      <w:r>
        <w:t xml:space="preserve">Zhang et al, 2018. A comparative life cycle assessment (LCA) of lighting technologies for greenhouse crop production. Journal of Cleaner Production 140, 705-713. </w:t>
      </w:r>
    </w:p>
    <w:sectPr w:rsidR="00CB7851" w:rsidSect="004D01FF">
      <w:pgSz w:w="11906" w:h="16838"/>
      <w:pgMar w:top="1701" w:right="1559" w:bottom="1559" w:left="1701" w:header="709" w:footer="709" w:gutter="0"/>
      <w:pgNumType w:start="1"/>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5CFD" w14:textId="77777777" w:rsidR="009D56B6" w:rsidRDefault="009D56B6">
      <w:pPr>
        <w:spacing w:after="0" w:line="240" w:lineRule="auto"/>
      </w:pPr>
      <w:r>
        <w:separator/>
      </w:r>
    </w:p>
  </w:endnote>
  <w:endnote w:type="continuationSeparator" w:id="0">
    <w:p w14:paraId="1ADB2E3C" w14:textId="77777777" w:rsidR="009D56B6" w:rsidRDefault="009D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B" w14:textId="77777777" w:rsidR="00511004" w:rsidRDefault="0051100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57627"/>
      <w:docPartObj>
        <w:docPartGallery w:val="Page Numbers (Bottom of Page)"/>
        <w:docPartUnique/>
      </w:docPartObj>
    </w:sdtPr>
    <w:sdtContent>
      <w:p w14:paraId="7E27DFBC" w14:textId="73885381" w:rsidR="006E09A3" w:rsidRDefault="006E09A3">
        <w:pPr>
          <w:pStyle w:val="Footer"/>
          <w:jc w:val="right"/>
        </w:pPr>
        <w:r>
          <w:fldChar w:fldCharType="begin"/>
        </w:r>
        <w:r>
          <w:instrText>PAGE   \* MERGEFORMAT</w:instrText>
        </w:r>
        <w:r>
          <w:fldChar w:fldCharType="separate"/>
        </w:r>
        <w:r>
          <w:rPr>
            <w:lang w:val="sv-SE"/>
          </w:rPr>
          <w:t>2</w:t>
        </w:r>
        <w:r>
          <w:fldChar w:fldCharType="end"/>
        </w:r>
      </w:p>
    </w:sdtContent>
  </w:sdt>
  <w:p w14:paraId="0000020D" w14:textId="77777777" w:rsidR="00511004" w:rsidRDefault="0051100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C" w14:textId="77777777" w:rsidR="00511004" w:rsidRDefault="0051100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506F" w14:textId="77777777" w:rsidR="009D56B6" w:rsidRDefault="009D56B6">
      <w:pPr>
        <w:spacing w:after="0" w:line="240" w:lineRule="auto"/>
      </w:pPr>
      <w:r>
        <w:separator/>
      </w:r>
    </w:p>
  </w:footnote>
  <w:footnote w:type="continuationSeparator" w:id="0">
    <w:p w14:paraId="5AAF4185" w14:textId="77777777" w:rsidR="009D56B6" w:rsidRDefault="009D56B6">
      <w:pPr>
        <w:spacing w:after="0" w:line="240" w:lineRule="auto"/>
      </w:pPr>
      <w:r>
        <w:continuationSeparator/>
      </w:r>
    </w:p>
  </w:footnote>
  <w:footnote w:id="1">
    <w:p w14:paraId="284AEB5D" w14:textId="1D606FB4" w:rsidR="00803C3C" w:rsidRPr="00803C3C" w:rsidRDefault="00803C3C">
      <w:pPr>
        <w:pStyle w:val="FootnoteText"/>
        <w:rPr>
          <w:lang w:val="sv-SE"/>
        </w:rPr>
      </w:pPr>
      <w:r>
        <w:rPr>
          <w:rStyle w:val="FootnoteReference"/>
        </w:rPr>
        <w:footnoteRef/>
      </w:r>
      <w:r>
        <w:t xml:space="preserve"> www.transportmeasures.org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9" w14:textId="77777777" w:rsidR="00511004" w:rsidRDefault="0051100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8" w14:textId="77777777" w:rsidR="00511004" w:rsidRDefault="0051100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A" w14:textId="77777777" w:rsidR="00511004" w:rsidRDefault="0051100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22F50"/>
    <w:multiLevelType w:val="multilevel"/>
    <w:tmpl w:val="8E5A76CC"/>
    <w:lvl w:ilvl="0">
      <w:start w:val="1"/>
      <w:numFmt w:val="decimal"/>
      <w:pStyle w:val="ListBullet"/>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C26736"/>
    <w:multiLevelType w:val="hybridMultilevel"/>
    <w:tmpl w:val="4F3640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8F5CD6"/>
    <w:multiLevelType w:val="hybridMultilevel"/>
    <w:tmpl w:val="93B04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67967">
    <w:abstractNumId w:val="0"/>
  </w:num>
  <w:num w:numId="2" w16cid:durableId="1930691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410978">
    <w:abstractNumId w:val="1"/>
  </w:num>
  <w:num w:numId="4" w16cid:durableId="488908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2tzCyNDc0NDE1MjdR0lEKTi0uzszPAymwrAUAyXgIoywAAAA="/>
  </w:docVars>
  <w:rsids>
    <w:rsidRoot w:val="00511004"/>
    <w:rsid w:val="00013A7B"/>
    <w:rsid w:val="00031F47"/>
    <w:rsid w:val="00037B32"/>
    <w:rsid w:val="0007606D"/>
    <w:rsid w:val="00076A03"/>
    <w:rsid w:val="000E53E0"/>
    <w:rsid w:val="0017203A"/>
    <w:rsid w:val="001972FF"/>
    <w:rsid w:val="001C0173"/>
    <w:rsid w:val="00204B67"/>
    <w:rsid w:val="0023078A"/>
    <w:rsid w:val="0025756A"/>
    <w:rsid w:val="002B773D"/>
    <w:rsid w:val="002F0BF7"/>
    <w:rsid w:val="00305C76"/>
    <w:rsid w:val="00351A35"/>
    <w:rsid w:val="003A5FE3"/>
    <w:rsid w:val="003C42D6"/>
    <w:rsid w:val="0044489A"/>
    <w:rsid w:val="00467D60"/>
    <w:rsid w:val="00477AFE"/>
    <w:rsid w:val="004D01FF"/>
    <w:rsid w:val="004F245A"/>
    <w:rsid w:val="00511004"/>
    <w:rsid w:val="00575EE0"/>
    <w:rsid w:val="005A0027"/>
    <w:rsid w:val="005A7FB0"/>
    <w:rsid w:val="005C34D2"/>
    <w:rsid w:val="006115F2"/>
    <w:rsid w:val="00654350"/>
    <w:rsid w:val="006A012D"/>
    <w:rsid w:val="006E09A3"/>
    <w:rsid w:val="00767BBA"/>
    <w:rsid w:val="007878BE"/>
    <w:rsid w:val="00803C3C"/>
    <w:rsid w:val="00845775"/>
    <w:rsid w:val="008634B2"/>
    <w:rsid w:val="00874F7B"/>
    <w:rsid w:val="00890C94"/>
    <w:rsid w:val="008933F1"/>
    <w:rsid w:val="009245F9"/>
    <w:rsid w:val="009A5A93"/>
    <w:rsid w:val="009C19CE"/>
    <w:rsid w:val="009C739D"/>
    <w:rsid w:val="009D56B6"/>
    <w:rsid w:val="00A04833"/>
    <w:rsid w:val="00A3650E"/>
    <w:rsid w:val="00A518FB"/>
    <w:rsid w:val="00A52708"/>
    <w:rsid w:val="00B36AA1"/>
    <w:rsid w:val="00B6589D"/>
    <w:rsid w:val="00BA3088"/>
    <w:rsid w:val="00BB0FFD"/>
    <w:rsid w:val="00C03763"/>
    <w:rsid w:val="00C11160"/>
    <w:rsid w:val="00C1133B"/>
    <w:rsid w:val="00C33FF9"/>
    <w:rsid w:val="00C54035"/>
    <w:rsid w:val="00C63535"/>
    <w:rsid w:val="00C867F3"/>
    <w:rsid w:val="00C93E4B"/>
    <w:rsid w:val="00CB7851"/>
    <w:rsid w:val="00CD27EE"/>
    <w:rsid w:val="00CD2AF3"/>
    <w:rsid w:val="00D83AC6"/>
    <w:rsid w:val="00D93752"/>
    <w:rsid w:val="00DC2BED"/>
    <w:rsid w:val="00DE2132"/>
    <w:rsid w:val="00DF7FB0"/>
    <w:rsid w:val="00EF2CA9"/>
    <w:rsid w:val="00F70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49AD"/>
  <w15:docId w15:val="{BAF797C1-34EF-41B5-96B6-75FCC43D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US" w:eastAsia="sv-SE"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27"/>
    <w:pPr>
      <w:spacing w:line="280" w:lineRule="atLeast"/>
    </w:pPr>
    <w:rPr>
      <w:w w:val="106"/>
    </w:rPr>
  </w:style>
  <w:style w:type="paragraph" w:styleId="Heading1">
    <w:name w:val="heading 1"/>
    <w:basedOn w:val="Normal"/>
    <w:next w:val="Normal"/>
    <w:link w:val="Heading1Char"/>
    <w:uiPriority w:val="9"/>
    <w:qFormat/>
    <w:rsid w:val="00EB5EB5"/>
    <w:pPr>
      <w:keepNext/>
      <w:keepLines/>
      <w:spacing w:before="320" w:after="100"/>
      <w:outlineLvl w:val="0"/>
    </w:pPr>
    <w:rPr>
      <w:rFonts w:asciiTheme="majorHAnsi" w:eastAsiaTheme="majorEastAsia" w:hAnsiTheme="majorHAnsi" w:cstheme="majorBidi"/>
      <w:color w:val="008487" w:themeColor="accent1"/>
      <w:w w:val="100"/>
      <w:sz w:val="48"/>
      <w:szCs w:val="32"/>
    </w:rPr>
  </w:style>
  <w:style w:type="paragraph" w:styleId="Heading2">
    <w:name w:val="heading 2"/>
    <w:basedOn w:val="Normal"/>
    <w:next w:val="Normal"/>
    <w:link w:val="Heading2Char"/>
    <w:uiPriority w:val="9"/>
    <w:unhideWhenUsed/>
    <w:qFormat/>
    <w:rsid w:val="00EB5EB5"/>
    <w:pPr>
      <w:keepNext/>
      <w:keepLines/>
      <w:spacing w:before="140" w:after="40"/>
      <w:outlineLvl w:val="1"/>
    </w:pPr>
    <w:rPr>
      <w:rFonts w:asciiTheme="majorHAnsi" w:eastAsiaTheme="majorEastAsia" w:hAnsiTheme="majorHAnsi" w:cstheme="majorBidi"/>
      <w:color w:val="008487" w:themeColor="accent1"/>
      <w:w w:val="100"/>
      <w:sz w:val="32"/>
      <w:szCs w:val="26"/>
    </w:rPr>
  </w:style>
  <w:style w:type="paragraph" w:styleId="Heading3">
    <w:name w:val="heading 3"/>
    <w:basedOn w:val="Normal"/>
    <w:next w:val="Normal"/>
    <w:link w:val="Heading3Char"/>
    <w:uiPriority w:val="9"/>
    <w:unhideWhenUsed/>
    <w:qFormat/>
    <w:rsid w:val="00EB5EB5"/>
    <w:pPr>
      <w:keepNext/>
      <w:keepLines/>
      <w:spacing w:before="100" w:after="20"/>
      <w:outlineLvl w:val="2"/>
    </w:pPr>
    <w:rPr>
      <w:rFonts w:asciiTheme="majorHAnsi" w:eastAsiaTheme="majorEastAsia" w:hAnsiTheme="majorHAnsi" w:cstheme="majorBidi"/>
      <w:b/>
      <w:color w:val="008487" w:themeColor="accent1"/>
      <w:w w:val="100"/>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3AF"/>
    <w:pPr>
      <w:spacing w:after="0" w:line="240" w:lineRule="auto"/>
      <w:contextualSpacing/>
    </w:pPr>
    <w:rPr>
      <w:rFonts w:asciiTheme="majorHAnsi" w:eastAsiaTheme="majorEastAsia" w:hAnsiTheme="majorHAnsi" w:cstheme="majorBidi"/>
      <w:color w:val="008487" w:themeColor="accent1"/>
      <w:spacing w:val="-10"/>
      <w:kern w:val="28"/>
      <w:sz w:val="93"/>
      <w:szCs w:val="56"/>
    </w:rPr>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2"/>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character" w:customStyle="1" w:styleId="TitleChar">
    <w:name w:val="Title Char"/>
    <w:basedOn w:val="DefaultParagraphFont"/>
    <w:link w:val="Title"/>
    <w:uiPriority w:val="10"/>
    <w:rsid w:val="007233AF"/>
    <w:rPr>
      <w:rFonts w:asciiTheme="majorHAnsi" w:eastAsiaTheme="majorEastAsia" w:hAnsiTheme="majorHAnsi" w:cstheme="majorBidi"/>
      <w:color w:val="008487" w:themeColor="accent1"/>
      <w:spacing w:val="-10"/>
      <w:w w:val="106"/>
      <w:kern w:val="28"/>
      <w:sz w:val="93"/>
      <w:szCs w:val="56"/>
    </w:rPr>
  </w:style>
  <w:style w:type="paragraph" w:styleId="Header">
    <w:name w:val="header"/>
    <w:basedOn w:val="Normal"/>
    <w:link w:val="HeaderChar"/>
    <w:uiPriority w:val="99"/>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rsid w:val="00E277DD"/>
    <w:pPr>
      <w:ind w:left="720"/>
      <w:contextualSpacing/>
    </w:pPr>
  </w:style>
  <w:style w:type="numbering" w:customStyle="1" w:styleId="Listformatpunktlista">
    <w:name w:val="Listformat punktlista"/>
    <w:uiPriority w:val="99"/>
    <w:rsid w:val="00DE5C63"/>
  </w:style>
  <w:style w:type="numbering" w:customStyle="1" w:styleId="Listformatnumreradlista">
    <w:name w:val="Listformat numreradlista"/>
    <w:uiPriority w:val="99"/>
    <w:rsid w:val="0062451D"/>
  </w:style>
  <w:style w:type="paragraph" w:styleId="ListBullet">
    <w:name w:val="List Bullet"/>
    <w:basedOn w:val="Normal"/>
    <w:uiPriority w:val="99"/>
    <w:rsid w:val="00DE5C63"/>
    <w:pPr>
      <w:numPr>
        <w:numId w:val="1"/>
      </w:numPr>
      <w:contextualSpacing/>
    </w:pPr>
  </w:style>
  <w:style w:type="paragraph" w:styleId="ListBullet2">
    <w:name w:val="List Bullet 2"/>
    <w:basedOn w:val="Normal"/>
    <w:uiPriority w:val="99"/>
    <w:rsid w:val="00DE5C63"/>
    <w:pPr>
      <w:numPr>
        <w:ilvl w:val="1"/>
        <w:numId w:val="1"/>
      </w:numPr>
      <w:contextualSpacing/>
    </w:pPr>
  </w:style>
  <w:style w:type="paragraph" w:styleId="ListNumber">
    <w:name w:val="List Number"/>
    <w:basedOn w:val="Normal"/>
    <w:uiPriority w:val="99"/>
    <w:rsid w:val="0062451D"/>
    <w:pPr>
      <w:tabs>
        <w:tab w:val="num" w:pos="720"/>
      </w:tabs>
      <w:ind w:left="720" w:hanging="720"/>
      <w:contextualSpacing/>
    </w:pPr>
  </w:style>
  <w:style w:type="paragraph" w:styleId="ListNumber2">
    <w:name w:val="List Number 2"/>
    <w:basedOn w:val="Normal"/>
    <w:uiPriority w:val="99"/>
    <w:rsid w:val="0062451D"/>
    <w:pPr>
      <w:tabs>
        <w:tab w:val="num" w:pos="1440"/>
      </w:tabs>
      <w:ind w:left="1440" w:hanging="720"/>
      <w:contextualSpacing/>
    </w:pPr>
  </w:style>
  <w:style w:type="paragraph" w:styleId="Caption">
    <w:name w:val="caption"/>
    <w:basedOn w:val="Normal"/>
    <w:next w:val="Normal"/>
    <w:uiPriority w:val="35"/>
    <w:unhideWhenUsed/>
    <w:qFormat/>
    <w:rsid w:val="009B77D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574FC"/>
    <w:rPr>
      <w:sz w:val="16"/>
      <w:szCs w:val="16"/>
    </w:rPr>
  </w:style>
  <w:style w:type="paragraph" w:styleId="CommentText">
    <w:name w:val="annotation text"/>
    <w:basedOn w:val="Normal"/>
    <w:link w:val="CommentTextChar"/>
    <w:uiPriority w:val="99"/>
    <w:semiHidden/>
    <w:unhideWhenUsed/>
    <w:rsid w:val="003574FC"/>
    <w:pPr>
      <w:spacing w:line="240" w:lineRule="auto"/>
    </w:pPr>
  </w:style>
  <w:style w:type="character" w:customStyle="1" w:styleId="CommentTextChar">
    <w:name w:val="Comment Text Char"/>
    <w:basedOn w:val="DefaultParagraphFont"/>
    <w:link w:val="CommentText"/>
    <w:uiPriority w:val="99"/>
    <w:semiHidden/>
    <w:rsid w:val="003574FC"/>
    <w:rPr>
      <w:rFonts w:ascii="Palatino Linotype" w:hAnsi="Palatino Linotype"/>
      <w:w w:val="106"/>
      <w:lang w:val="en-US"/>
    </w:rPr>
  </w:style>
  <w:style w:type="paragraph" w:styleId="CommentSubject">
    <w:name w:val="annotation subject"/>
    <w:basedOn w:val="CommentText"/>
    <w:next w:val="CommentText"/>
    <w:link w:val="CommentSubjectChar"/>
    <w:uiPriority w:val="99"/>
    <w:semiHidden/>
    <w:unhideWhenUsed/>
    <w:rsid w:val="003574FC"/>
    <w:rPr>
      <w:b/>
      <w:bCs/>
    </w:rPr>
  </w:style>
  <w:style w:type="character" w:customStyle="1" w:styleId="CommentSubjectChar">
    <w:name w:val="Comment Subject Char"/>
    <w:basedOn w:val="CommentTextChar"/>
    <w:link w:val="CommentSubject"/>
    <w:uiPriority w:val="99"/>
    <w:semiHidden/>
    <w:rsid w:val="003574FC"/>
    <w:rPr>
      <w:rFonts w:ascii="Palatino Linotype" w:hAnsi="Palatino Linotype"/>
      <w:b/>
      <w:bCs/>
      <w:w w:val="106"/>
      <w:lang w:val="en-US"/>
    </w:rPr>
  </w:style>
  <w:style w:type="table" w:styleId="TableGrid">
    <w:name w:val="Table Grid"/>
    <w:basedOn w:val="TableNormal"/>
    <w:uiPriority w:val="39"/>
    <w:rsid w:val="00DD1D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011A0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2">
    <w:name w:val="List Table 1 Light Accent 2"/>
    <w:basedOn w:val="TableNormal"/>
    <w:uiPriority w:val="46"/>
    <w:rsid w:val="002C6573"/>
    <w:pPr>
      <w:spacing w:after="0"/>
    </w:pPr>
    <w:tblPr>
      <w:tblStyleRowBandSize w:val="1"/>
      <w:tblStyleColBandSize w:val="1"/>
    </w:tblPr>
    <w:tblStylePr w:type="firstRow">
      <w:rPr>
        <w:b/>
        <w:bCs/>
      </w:rPr>
      <w:tblPr/>
      <w:tcPr>
        <w:tcBorders>
          <w:bottom w:val="single" w:sz="4" w:space="0" w:color="969692" w:themeColor="accent2" w:themeTint="99"/>
        </w:tcBorders>
      </w:tcPr>
    </w:tblStylePr>
    <w:tblStylePr w:type="lastRow">
      <w:rPr>
        <w:b/>
        <w:bCs/>
      </w:rPr>
      <w:tblPr/>
      <w:tcPr>
        <w:tcBorders>
          <w:top w:val="single" w:sz="4" w:space="0" w:color="969692" w:themeColor="accent2" w:themeTint="99"/>
        </w:tcBorders>
      </w:tcPr>
    </w:tblStylePr>
    <w:tblStylePr w:type="firstCol">
      <w:rPr>
        <w:b/>
        <w:bCs/>
      </w:rPr>
    </w:tblStylePr>
    <w:tblStylePr w:type="lastCol">
      <w:rPr>
        <w:b/>
        <w:bCs/>
      </w:rPr>
    </w:tblStylePr>
    <w:tblStylePr w:type="band1Vert">
      <w:tblPr/>
      <w:tcPr>
        <w:shd w:val="clear" w:color="auto" w:fill="DCDCDA" w:themeFill="accent2" w:themeFillTint="33"/>
      </w:tcPr>
    </w:tblStylePr>
    <w:tblStylePr w:type="band1Horz">
      <w:tblPr/>
      <w:tcPr>
        <w:shd w:val="clear" w:color="auto" w:fill="DCDCDA" w:themeFill="accent2" w:themeFillTint="33"/>
      </w:tcPr>
    </w:tblStylePr>
  </w:style>
  <w:style w:type="character" w:styleId="PlaceholderText">
    <w:name w:val="Placeholder Text"/>
    <w:basedOn w:val="DefaultParagraphFont"/>
    <w:uiPriority w:val="99"/>
    <w:semiHidden/>
    <w:rsid w:val="00825F46"/>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pPr>
      <w:spacing w:after="0"/>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Pr>
    <w:tblStylePr w:type="firstRow">
      <w:rPr>
        <w:b/>
      </w:rPr>
      <w:tblPr/>
      <w:tcPr>
        <w:tcBorders>
          <w:bottom w:val="single" w:sz="4" w:space="0" w:color="969692"/>
        </w:tcBorders>
      </w:tcPr>
    </w:tblStylePr>
    <w:tblStylePr w:type="lastRow">
      <w:rPr>
        <w:b/>
      </w:rPr>
      <w:tblPr/>
      <w:tcPr>
        <w:tcBorders>
          <w:top w:val="single" w:sz="4" w:space="0" w:color="969692"/>
        </w:tcBorders>
      </w:tcPr>
    </w:tblStylePr>
    <w:tblStylePr w:type="firstCol">
      <w:rPr>
        <w:b/>
      </w:rPr>
    </w:tblStylePr>
    <w:tblStylePr w:type="lastCol">
      <w:rPr>
        <w:b/>
      </w:rPr>
    </w:tblStylePr>
    <w:tblStylePr w:type="band1Vert">
      <w:tblPr/>
      <w:tcPr>
        <w:shd w:val="clear" w:color="auto" w:fill="DCDCDA"/>
      </w:tcPr>
    </w:tblStylePr>
    <w:tblStylePr w:type="band1Horz">
      <w:tblPr/>
      <w:tcPr>
        <w:shd w:val="clear" w:color="auto" w:fill="DCDCDA"/>
      </w:tcPr>
    </w:tblStyle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styleId="PlainTable2">
    <w:name w:val="Plain Table 2"/>
    <w:basedOn w:val="TableNormal"/>
    <w:uiPriority w:val="42"/>
    <w:rsid w:val="006115F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2">
    <w:name w:val="Grid Table 4 Accent 2"/>
    <w:basedOn w:val="TableNormal"/>
    <w:uiPriority w:val="49"/>
    <w:rsid w:val="00BB0FFD"/>
    <w:pPr>
      <w:spacing w:after="0"/>
    </w:pPr>
    <w:tblPr>
      <w:tblStyleRowBandSize w:val="1"/>
      <w:tblStyleColBandSize w:val="1"/>
      <w:tblBorders>
        <w:top w:val="single" w:sz="4" w:space="0" w:color="969692" w:themeColor="accent2" w:themeTint="99"/>
        <w:left w:val="single" w:sz="4" w:space="0" w:color="969692" w:themeColor="accent2" w:themeTint="99"/>
        <w:bottom w:val="single" w:sz="4" w:space="0" w:color="969692" w:themeColor="accent2" w:themeTint="99"/>
        <w:right w:val="single" w:sz="4" w:space="0" w:color="969692" w:themeColor="accent2" w:themeTint="99"/>
        <w:insideH w:val="single" w:sz="4" w:space="0" w:color="969692" w:themeColor="accent2" w:themeTint="99"/>
        <w:insideV w:val="single" w:sz="4" w:space="0" w:color="969692" w:themeColor="accent2" w:themeTint="99"/>
      </w:tblBorders>
    </w:tblPr>
    <w:tblStylePr w:type="firstRow">
      <w:rPr>
        <w:b/>
        <w:bCs/>
        <w:color w:val="FFFFFF" w:themeColor="background1"/>
      </w:rPr>
      <w:tblPr/>
      <w:tcPr>
        <w:tcBorders>
          <w:top w:val="single" w:sz="4" w:space="0" w:color="4F4F4C" w:themeColor="accent2"/>
          <w:left w:val="single" w:sz="4" w:space="0" w:color="4F4F4C" w:themeColor="accent2"/>
          <w:bottom w:val="single" w:sz="4" w:space="0" w:color="4F4F4C" w:themeColor="accent2"/>
          <w:right w:val="single" w:sz="4" w:space="0" w:color="4F4F4C" w:themeColor="accent2"/>
          <w:insideH w:val="nil"/>
          <w:insideV w:val="nil"/>
        </w:tcBorders>
        <w:shd w:val="clear" w:color="auto" w:fill="4F4F4C" w:themeFill="accent2"/>
      </w:tcPr>
    </w:tblStylePr>
    <w:tblStylePr w:type="lastRow">
      <w:rPr>
        <w:b/>
        <w:bCs/>
      </w:rPr>
      <w:tblPr/>
      <w:tcPr>
        <w:tcBorders>
          <w:top w:val="double" w:sz="4" w:space="0" w:color="4F4F4C" w:themeColor="accent2"/>
        </w:tcBorders>
      </w:tcPr>
    </w:tblStylePr>
    <w:tblStylePr w:type="firstCol">
      <w:rPr>
        <w:b/>
        <w:bCs/>
      </w:rPr>
    </w:tblStylePr>
    <w:tblStylePr w:type="lastCol">
      <w:rPr>
        <w:b/>
        <w:bCs/>
      </w:rPr>
    </w:tblStylePr>
    <w:tblStylePr w:type="band1Vert">
      <w:tblPr/>
      <w:tcPr>
        <w:shd w:val="clear" w:color="auto" w:fill="DCDCDA" w:themeFill="accent2" w:themeFillTint="33"/>
      </w:tcPr>
    </w:tblStylePr>
    <w:tblStylePr w:type="band1Horz">
      <w:tblPr/>
      <w:tcPr>
        <w:shd w:val="clear" w:color="auto" w:fill="DCDCDA" w:themeFill="accent2" w:themeFillTint="33"/>
      </w:tcPr>
    </w:tblStylePr>
  </w:style>
  <w:style w:type="character" w:styleId="Hyperlink">
    <w:name w:val="Hyperlink"/>
    <w:basedOn w:val="DefaultParagraphFont"/>
    <w:uiPriority w:val="99"/>
    <w:unhideWhenUsed/>
    <w:rsid w:val="00803C3C"/>
    <w:rPr>
      <w:color w:val="0563C1" w:themeColor="hyperlink"/>
      <w:u w:val="single"/>
    </w:rPr>
  </w:style>
  <w:style w:type="character" w:styleId="UnresolvedMention">
    <w:name w:val="Unresolved Mention"/>
    <w:basedOn w:val="DefaultParagraphFont"/>
    <w:uiPriority w:val="99"/>
    <w:semiHidden/>
    <w:unhideWhenUsed/>
    <w:rsid w:val="00803C3C"/>
    <w:rPr>
      <w:color w:val="605E5C"/>
      <w:shd w:val="clear" w:color="auto" w:fill="E1DFDD"/>
    </w:rPr>
  </w:style>
  <w:style w:type="paragraph" w:styleId="FootnoteText">
    <w:name w:val="footnote text"/>
    <w:basedOn w:val="Normal"/>
    <w:link w:val="FootnoteTextChar"/>
    <w:uiPriority w:val="99"/>
    <w:semiHidden/>
    <w:unhideWhenUsed/>
    <w:rsid w:val="00803C3C"/>
    <w:pPr>
      <w:spacing w:after="0" w:line="240" w:lineRule="auto"/>
    </w:pPr>
  </w:style>
  <w:style w:type="character" w:customStyle="1" w:styleId="FootnoteTextChar">
    <w:name w:val="Footnote Text Char"/>
    <w:basedOn w:val="DefaultParagraphFont"/>
    <w:link w:val="FootnoteText"/>
    <w:uiPriority w:val="99"/>
    <w:semiHidden/>
    <w:rsid w:val="00803C3C"/>
    <w:rPr>
      <w:w w:val="106"/>
    </w:rPr>
  </w:style>
  <w:style w:type="character" w:styleId="FootnoteReference">
    <w:name w:val="footnote reference"/>
    <w:basedOn w:val="DefaultParagraphFont"/>
    <w:uiPriority w:val="99"/>
    <w:semiHidden/>
    <w:unhideWhenUsed/>
    <w:rsid w:val="00803C3C"/>
    <w:rPr>
      <w:vertAlign w:val="superscript"/>
    </w:rPr>
  </w:style>
  <w:style w:type="table" w:styleId="GridTable4">
    <w:name w:val="Grid Table 4"/>
    <w:basedOn w:val="TableNormal"/>
    <w:uiPriority w:val="49"/>
    <w:rsid w:val="00A5270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A5270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A52708"/>
    <w:pPr>
      <w:spacing w:after="0"/>
    </w:pPr>
    <w:rPr>
      <w:color w:val="3B3B39" w:themeColor="accent2" w:themeShade="BF"/>
    </w:rPr>
    <w:tblPr>
      <w:tblStyleRowBandSize w:val="1"/>
      <w:tblStyleColBandSize w:val="1"/>
      <w:tblBorders>
        <w:top w:val="single" w:sz="4" w:space="0" w:color="969692" w:themeColor="accent2" w:themeTint="99"/>
        <w:left w:val="single" w:sz="4" w:space="0" w:color="969692" w:themeColor="accent2" w:themeTint="99"/>
        <w:bottom w:val="single" w:sz="4" w:space="0" w:color="969692" w:themeColor="accent2" w:themeTint="99"/>
        <w:right w:val="single" w:sz="4" w:space="0" w:color="969692" w:themeColor="accent2" w:themeTint="99"/>
        <w:insideH w:val="single" w:sz="4" w:space="0" w:color="969692" w:themeColor="accent2" w:themeTint="99"/>
        <w:insideV w:val="single" w:sz="4" w:space="0" w:color="969692" w:themeColor="accent2" w:themeTint="99"/>
      </w:tblBorders>
    </w:tblPr>
    <w:tblStylePr w:type="firstRow">
      <w:rPr>
        <w:b/>
        <w:bCs/>
      </w:rPr>
      <w:tblPr/>
      <w:tcPr>
        <w:tcBorders>
          <w:bottom w:val="single" w:sz="12" w:space="0" w:color="969692" w:themeColor="accent2" w:themeTint="99"/>
        </w:tcBorders>
      </w:tcPr>
    </w:tblStylePr>
    <w:tblStylePr w:type="lastRow">
      <w:rPr>
        <w:b/>
        <w:bCs/>
      </w:rPr>
      <w:tblPr/>
      <w:tcPr>
        <w:tcBorders>
          <w:top w:val="double" w:sz="4" w:space="0" w:color="969692" w:themeColor="accent2" w:themeTint="99"/>
        </w:tcBorders>
      </w:tcPr>
    </w:tblStylePr>
    <w:tblStylePr w:type="firstCol">
      <w:rPr>
        <w:b/>
        <w:bCs/>
      </w:rPr>
    </w:tblStylePr>
    <w:tblStylePr w:type="lastCol">
      <w:rPr>
        <w:b/>
        <w:bCs/>
      </w:rPr>
    </w:tblStylePr>
    <w:tblStylePr w:type="band1Vert">
      <w:tblPr/>
      <w:tcPr>
        <w:shd w:val="clear" w:color="auto" w:fill="DCDCDA" w:themeFill="accent2" w:themeFillTint="33"/>
      </w:tcPr>
    </w:tblStylePr>
    <w:tblStylePr w:type="band1Horz">
      <w:tblPr/>
      <w:tcPr>
        <w:shd w:val="clear" w:color="auto" w:fill="DCDCDA"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5724">
      <w:bodyDiv w:val="1"/>
      <w:marLeft w:val="0"/>
      <w:marRight w:val="0"/>
      <w:marTop w:val="0"/>
      <w:marBottom w:val="0"/>
      <w:divBdr>
        <w:top w:val="none" w:sz="0" w:space="0" w:color="auto"/>
        <w:left w:val="none" w:sz="0" w:space="0" w:color="auto"/>
        <w:bottom w:val="none" w:sz="0" w:space="0" w:color="auto"/>
        <w:right w:val="none" w:sz="0" w:space="0" w:color="auto"/>
      </w:divBdr>
    </w:div>
    <w:div w:id="501815949">
      <w:bodyDiv w:val="1"/>
      <w:marLeft w:val="0"/>
      <w:marRight w:val="0"/>
      <w:marTop w:val="0"/>
      <w:marBottom w:val="0"/>
      <w:divBdr>
        <w:top w:val="none" w:sz="0" w:space="0" w:color="auto"/>
        <w:left w:val="none" w:sz="0" w:space="0" w:color="auto"/>
        <w:bottom w:val="none" w:sz="0" w:space="0" w:color="auto"/>
        <w:right w:val="none" w:sz="0" w:space="0" w:color="auto"/>
      </w:divBdr>
    </w:div>
    <w:div w:id="1437627993">
      <w:bodyDiv w:val="1"/>
      <w:marLeft w:val="0"/>
      <w:marRight w:val="0"/>
      <w:marTop w:val="0"/>
      <w:marBottom w:val="0"/>
      <w:divBdr>
        <w:top w:val="none" w:sz="0" w:space="0" w:color="auto"/>
        <w:left w:val="none" w:sz="0" w:space="0" w:color="auto"/>
        <w:bottom w:val="none" w:sz="0" w:space="0" w:color="auto"/>
        <w:right w:val="none" w:sz="0" w:space="0" w:color="auto"/>
      </w:divBdr>
    </w:div>
    <w:div w:id="1779787848">
      <w:bodyDiv w:val="1"/>
      <w:marLeft w:val="0"/>
      <w:marRight w:val="0"/>
      <w:marTop w:val="0"/>
      <w:marBottom w:val="0"/>
      <w:divBdr>
        <w:top w:val="none" w:sz="0" w:space="0" w:color="auto"/>
        <w:left w:val="none" w:sz="0" w:space="0" w:color="auto"/>
        <w:bottom w:val="none" w:sz="0" w:space="0" w:color="auto"/>
        <w:right w:val="none" w:sz="0" w:space="0" w:color="auto"/>
      </w:divBdr>
    </w:div>
    <w:div w:id="210784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KAt5n8tRvPgQ2NxN0vl061YEg==">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4E0B5E-10D4-4789-98E6-1B5D9781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2534</Words>
  <Characters>15590</Characters>
  <Application>Microsoft Office Word</Application>
  <DocSecurity>0</DocSecurity>
  <Lines>251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Martin</dc:creator>
  <cp:keywords/>
  <dc:description/>
  <cp:lastModifiedBy>Michael Martin</cp:lastModifiedBy>
  <cp:revision>6</cp:revision>
  <dcterms:created xsi:type="dcterms:W3CDTF">2023-02-24T11:38:00Z</dcterms:created>
  <dcterms:modified xsi:type="dcterms:W3CDTF">2023-02-25T07:21:00Z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2331dfeb46020b7fb730a94fe8f1a50bde20017458d46d3955c665c8a5837d2c</vt:lpwstr>
  </property>
</Properties>
</file>